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5817" w14:textId="77777777" w:rsidR="00434332" w:rsidRDefault="00000000">
      <w:pPr>
        <w:pStyle w:val="Title"/>
      </w:pPr>
      <w:bookmarkStart w:id="0" w:name="_heading=h.gjdgxs" w:colFirst="0" w:colLast="0"/>
      <w:bookmarkEnd w:id="0"/>
      <w:r>
        <w:rPr>
          <w:sz w:val="56"/>
        </w:rPr>
        <w:t>L’analyse fédérée : glossaire</w:t>
      </w:r>
    </w:p>
    <w:p w14:paraId="1E193044" w14:textId="77777777" w:rsidR="00434332" w:rsidRDefault="00000000">
      <w:pPr>
        <w:spacing w:after="0"/>
        <w:rPr>
          <w:rFonts w:ascii="Lato" w:eastAsia="Lato" w:hAnsi="Lato" w:cs="Lato"/>
        </w:rPr>
      </w:pPr>
      <w:r>
        <w:rPr>
          <w:rFonts w:ascii="Lato" w:eastAsia="Lato" w:hAnsi="Lato" w:cs="Lato"/>
        </w:rPr>
        <w:t>Dernière mise à jour : 9 octobre 2024</w:t>
      </w:r>
    </w:p>
    <w:p w14:paraId="475D663D" w14:textId="77777777" w:rsidR="00434332" w:rsidRDefault="00000000">
      <w:pPr>
        <w:spacing w:after="0" w:line="240" w:lineRule="auto"/>
        <w:rPr>
          <w:rFonts w:ascii="Lato" w:eastAsia="Lato" w:hAnsi="Lato" w:cs="Lato"/>
          <w:color w:val="006A78"/>
        </w:rPr>
      </w:pPr>
      <w:r>
        <w:rPr>
          <w:rFonts w:ascii="Lato" w:eastAsia="Lato" w:hAnsi="Lato" w:cs="Lato"/>
          <w:color w:val="006A78"/>
        </w:rPr>
        <w:t>Le présent glossaire vise à établir une compréhension commune des termes et des concepts relatifs à l’analyse fédérée. Les termes n’y sont pas classés par ordre alphabétique; ils sont plutôt classés de sorte qu’ils s’ajoutent les uns aux autres.</w:t>
      </w:r>
    </w:p>
    <w:p w14:paraId="6527FB37" w14:textId="77777777" w:rsidR="00434332" w:rsidRDefault="00434332">
      <w:pPr>
        <w:spacing w:line="240" w:lineRule="auto"/>
        <w:rPr>
          <w:rFonts w:ascii="Lato" w:eastAsia="Lato" w:hAnsi="Lato" w:cs="Lato"/>
          <w:color w:val="006A78"/>
          <w:sz w:val="2"/>
          <w:szCs w:val="2"/>
        </w:rPr>
      </w:pPr>
    </w:p>
    <w:tbl>
      <w:tblPr>
        <w:tblStyle w:val="a4"/>
        <w:tblW w:w="106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385"/>
      </w:tblGrid>
      <w:tr w:rsidR="00434332" w14:paraId="1A8F4A2F" w14:textId="77777777">
        <w:trPr>
          <w:jc w:val="center"/>
        </w:trPr>
        <w:tc>
          <w:tcPr>
            <w:tcW w:w="2250" w:type="dxa"/>
            <w:shd w:val="clear" w:color="auto" w:fill="00274A"/>
            <w:tcMar>
              <w:top w:w="100" w:type="dxa"/>
              <w:left w:w="100" w:type="dxa"/>
              <w:bottom w:w="100" w:type="dxa"/>
              <w:right w:w="100" w:type="dxa"/>
            </w:tcMar>
          </w:tcPr>
          <w:p w14:paraId="49DD4AA4" w14:textId="77777777" w:rsidR="00434332" w:rsidRDefault="00000000">
            <w:pPr>
              <w:widowControl w:val="0"/>
              <w:spacing w:after="0" w:line="240" w:lineRule="auto"/>
              <w:rPr>
                <w:rFonts w:ascii="Lato" w:eastAsia="Lato" w:hAnsi="Lato" w:cs="Lato"/>
                <w:b/>
                <w:color w:val="FFFFFF"/>
              </w:rPr>
            </w:pPr>
            <w:r>
              <w:rPr>
                <w:rFonts w:ascii="Lato" w:eastAsia="Lato" w:hAnsi="Lato" w:cs="Lato"/>
                <w:b/>
                <w:color w:val="FFFFFF"/>
              </w:rPr>
              <w:t>Principaux termes</w:t>
            </w:r>
          </w:p>
        </w:tc>
        <w:tc>
          <w:tcPr>
            <w:tcW w:w="8385" w:type="dxa"/>
            <w:shd w:val="clear" w:color="auto" w:fill="00274A"/>
            <w:tcMar>
              <w:top w:w="100" w:type="dxa"/>
              <w:left w:w="100" w:type="dxa"/>
              <w:bottom w:w="100" w:type="dxa"/>
              <w:right w:w="100" w:type="dxa"/>
            </w:tcMar>
          </w:tcPr>
          <w:p w14:paraId="4985515D" w14:textId="77777777" w:rsidR="00434332" w:rsidRDefault="00000000">
            <w:pPr>
              <w:widowControl w:val="0"/>
              <w:spacing w:after="0" w:line="240" w:lineRule="auto"/>
              <w:rPr>
                <w:rFonts w:ascii="Lato" w:eastAsia="Lato" w:hAnsi="Lato" w:cs="Lato"/>
                <w:b/>
                <w:color w:val="FFFFFF"/>
              </w:rPr>
            </w:pPr>
            <w:r>
              <w:rPr>
                <w:rFonts w:ascii="Lato" w:eastAsia="Lato" w:hAnsi="Lato" w:cs="Lato"/>
                <w:b/>
                <w:color w:val="FFFFFF"/>
              </w:rPr>
              <w:t>Définition provisoire</w:t>
            </w:r>
          </w:p>
        </w:tc>
      </w:tr>
      <w:tr w:rsidR="00434332" w14:paraId="205411A6" w14:textId="77777777">
        <w:trPr>
          <w:jc w:val="center"/>
        </w:trPr>
        <w:tc>
          <w:tcPr>
            <w:tcW w:w="2250" w:type="dxa"/>
            <w:shd w:val="clear" w:color="auto" w:fill="auto"/>
            <w:tcMar>
              <w:top w:w="100" w:type="dxa"/>
              <w:left w:w="100" w:type="dxa"/>
              <w:bottom w:w="100" w:type="dxa"/>
              <w:right w:w="100" w:type="dxa"/>
            </w:tcMar>
          </w:tcPr>
          <w:p w14:paraId="061DA80C"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Modèle d’information</w:t>
            </w:r>
          </w:p>
        </w:tc>
        <w:tc>
          <w:tcPr>
            <w:tcW w:w="8385" w:type="dxa"/>
            <w:shd w:val="clear" w:color="auto" w:fill="auto"/>
            <w:tcMar>
              <w:top w:w="100" w:type="dxa"/>
              <w:left w:w="100" w:type="dxa"/>
              <w:bottom w:w="100" w:type="dxa"/>
              <w:right w:w="100" w:type="dxa"/>
            </w:tcMar>
          </w:tcPr>
          <w:p w14:paraId="3AC485F6" w14:textId="77777777" w:rsidR="00434332" w:rsidRDefault="00000000">
            <w:pPr>
              <w:widowControl w:val="0"/>
              <w:spacing w:after="200" w:line="240" w:lineRule="auto"/>
              <w:rPr>
                <w:rFonts w:ascii="Lato" w:eastAsia="Lato" w:hAnsi="Lato" w:cs="Lato"/>
              </w:rPr>
            </w:pPr>
            <w:r>
              <w:rPr>
                <w:rFonts w:ascii="Lato" w:eastAsia="Lato" w:hAnsi="Lato" w:cs="Lato"/>
              </w:rPr>
              <w:t>Modèle qui décrit les caractéristiques des éléments d’information pour certaines entités importantes du mode réel et les liens entre eux (p. ex. « hospitalisation ») (</w:t>
            </w:r>
            <w:hyperlink w:anchor="bookmark=id.e0i2vjdmod1h">
              <w:r w:rsidR="00434332">
                <w:rPr>
                  <w:rFonts w:ascii="Lato" w:eastAsia="Lato" w:hAnsi="Lato" w:cs="Lato"/>
                  <w:color w:val="1155CC"/>
                  <w:u w:val="single"/>
                </w:rPr>
                <w:t>1</w:t>
              </w:r>
            </w:hyperlink>
            <w:r>
              <w:rPr>
                <w:rFonts w:ascii="Lato" w:eastAsia="Lato" w:hAnsi="Lato" w:cs="Lato"/>
              </w:rPr>
              <w:t>). Ce modèle ne définit pas la façon dont l’information est stockée ni les technologies utilisées.</w:t>
            </w:r>
          </w:p>
        </w:tc>
      </w:tr>
      <w:tr w:rsidR="00434332" w14:paraId="7D79462E" w14:textId="77777777">
        <w:trPr>
          <w:jc w:val="center"/>
        </w:trPr>
        <w:tc>
          <w:tcPr>
            <w:tcW w:w="2250" w:type="dxa"/>
            <w:shd w:val="clear" w:color="auto" w:fill="auto"/>
            <w:tcMar>
              <w:top w:w="100" w:type="dxa"/>
              <w:left w:w="100" w:type="dxa"/>
              <w:bottom w:w="100" w:type="dxa"/>
              <w:right w:w="100" w:type="dxa"/>
            </w:tcMar>
          </w:tcPr>
          <w:p w14:paraId="5435DAA1"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Modèle de données</w:t>
            </w:r>
          </w:p>
        </w:tc>
        <w:tc>
          <w:tcPr>
            <w:tcW w:w="8385" w:type="dxa"/>
            <w:shd w:val="clear" w:color="auto" w:fill="auto"/>
            <w:tcMar>
              <w:top w:w="100" w:type="dxa"/>
              <w:left w:w="100" w:type="dxa"/>
              <w:bottom w:w="100" w:type="dxa"/>
              <w:right w:w="100" w:type="dxa"/>
            </w:tcMar>
          </w:tcPr>
          <w:p w14:paraId="31113DB6" w14:textId="77777777" w:rsidR="00434332" w:rsidRDefault="00000000">
            <w:pPr>
              <w:widowControl w:val="0"/>
              <w:spacing w:after="200" w:line="240" w:lineRule="auto"/>
              <w:rPr>
                <w:rFonts w:ascii="Lato" w:eastAsia="Lato" w:hAnsi="Lato" w:cs="Lato"/>
              </w:rPr>
            </w:pPr>
            <w:r>
              <w:rPr>
                <w:rFonts w:ascii="Lato" w:eastAsia="Lato" w:hAnsi="Lato" w:cs="Lato"/>
              </w:rPr>
              <w:t>Modèle qui établit les caractéristiques (p. ex. les types de données) des éléments de données qui décrivent les entités d’un modèle d’information (</w:t>
            </w:r>
            <w:hyperlink w:anchor="bookmark=id.ekj5uf272ww2">
              <w:r w:rsidR="00434332">
                <w:rPr>
                  <w:rFonts w:ascii="Lato" w:eastAsia="Lato" w:hAnsi="Lato" w:cs="Lato"/>
                  <w:color w:val="1155CC"/>
                  <w:u w:val="single"/>
                </w:rPr>
                <w:t>2</w:t>
              </w:r>
            </w:hyperlink>
            <w:r>
              <w:rPr>
                <w:rFonts w:ascii="Lato" w:eastAsia="Lato" w:hAnsi="Lato" w:cs="Lato"/>
              </w:rPr>
              <w:t>). Ce modèle définit la façon dont les éléments de données sont stockés dans un système particulier. Un modèle de données est toujours conforme à un modèle d’information, explicitement ou non.</w:t>
            </w:r>
          </w:p>
        </w:tc>
      </w:tr>
      <w:tr w:rsidR="00434332" w14:paraId="2E7558C1" w14:textId="77777777">
        <w:trPr>
          <w:jc w:val="center"/>
        </w:trPr>
        <w:tc>
          <w:tcPr>
            <w:tcW w:w="2250" w:type="dxa"/>
            <w:shd w:val="clear" w:color="auto" w:fill="auto"/>
            <w:tcMar>
              <w:top w:w="100" w:type="dxa"/>
              <w:left w:w="100" w:type="dxa"/>
              <w:bottom w:w="100" w:type="dxa"/>
              <w:right w:w="100" w:type="dxa"/>
            </w:tcMar>
          </w:tcPr>
          <w:p w14:paraId="30865576"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Fichier de données</w:t>
            </w:r>
          </w:p>
        </w:tc>
        <w:tc>
          <w:tcPr>
            <w:tcW w:w="8385" w:type="dxa"/>
            <w:shd w:val="clear" w:color="auto" w:fill="auto"/>
            <w:tcMar>
              <w:top w:w="100" w:type="dxa"/>
              <w:left w:w="100" w:type="dxa"/>
              <w:bottom w:w="100" w:type="dxa"/>
              <w:right w:w="100" w:type="dxa"/>
            </w:tcMar>
          </w:tcPr>
          <w:p w14:paraId="2C89685C" w14:textId="77777777" w:rsidR="00434332" w:rsidRDefault="00000000">
            <w:pPr>
              <w:widowControl w:val="0"/>
              <w:spacing w:after="200" w:line="240" w:lineRule="auto"/>
              <w:rPr>
                <w:rFonts w:ascii="Lato" w:eastAsia="Lato" w:hAnsi="Lato" w:cs="Lato"/>
              </w:rPr>
            </w:pPr>
            <w:r>
              <w:rPr>
                <w:rFonts w:ascii="Lato" w:eastAsia="Lato" w:hAnsi="Lato" w:cs="Lato"/>
              </w:rPr>
              <w:t>Ensemble d’éléments d’information structurés et organisés selon un modèle d’information.</w:t>
            </w:r>
          </w:p>
        </w:tc>
      </w:tr>
      <w:tr w:rsidR="00434332" w14:paraId="57DC49D3" w14:textId="77777777">
        <w:trPr>
          <w:jc w:val="center"/>
        </w:trPr>
        <w:tc>
          <w:tcPr>
            <w:tcW w:w="2250" w:type="dxa"/>
            <w:shd w:val="clear" w:color="auto" w:fill="auto"/>
            <w:tcMar>
              <w:top w:w="100" w:type="dxa"/>
              <w:left w:w="100" w:type="dxa"/>
              <w:bottom w:w="100" w:type="dxa"/>
              <w:right w:w="100" w:type="dxa"/>
            </w:tcMar>
          </w:tcPr>
          <w:p w14:paraId="66DABAF4"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Source de données</w:t>
            </w:r>
          </w:p>
        </w:tc>
        <w:tc>
          <w:tcPr>
            <w:tcW w:w="8385" w:type="dxa"/>
            <w:shd w:val="clear" w:color="auto" w:fill="auto"/>
            <w:tcMar>
              <w:top w:w="100" w:type="dxa"/>
              <w:left w:w="100" w:type="dxa"/>
              <w:bottom w:w="100" w:type="dxa"/>
              <w:right w:w="100" w:type="dxa"/>
            </w:tcMar>
          </w:tcPr>
          <w:p w14:paraId="7043107C" w14:textId="77777777" w:rsidR="00434332" w:rsidRDefault="00000000">
            <w:pPr>
              <w:widowControl w:val="0"/>
              <w:spacing w:after="200" w:line="240" w:lineRule="auto"/>
              <w:rPr>
                <w:rFonts w:ascii="Lato" w:eastAsia="Lato" w:hAnsi="Lato" w:cs="Lato"/>
              </w:rPr>
            </w:pPr>
            <w:r>
              <w:rPr>
                <w:rFonts w:ascii="Lato" w:eastAsia="Lato" w:hAnsi="Lato" w:cs="Lato"/>
              </w:rPr>
              <w:t>Ensemble d’éléments de données représentant un fichier de données dans lequel les éléments de données sont structurés et organisés selon un modèle de données. Il s’agit d’une mise en œuvre d’un fichier de données dans le monde réel au moyen d’une technologie déterminée (p. ex. une base de données MS SQL ou des fichiers CSV).</w:t>
            </w:r>
          </w:p>
        </w:tc>
      </w:tr>
      <w:tr w:rsidR="00434332" w14:paraId="0E939498" w14:textId="77777777">
        <w:trPr>
          <w:jc w:val="center"/>
        </w:trPr>
        <w:tc>
          <w:tcPr>
            <w:tcW w:w="2250" w:type="dxa"/>
            <w:shd w:val="clear" w:color="auto" w:fill="auto"/>
            <w:tcMar>
              <w:top w:w="100" w:type="dxa"/>
              <w:left w:w="100" w:type="dxa"/>
              <w:bottom w:w="100" w:type="dxa"/>
              <w:right w:w="100" w:type="dxa"/>
            </w:tcMar>
          </w:tcPr>
          <w:p w14:paraId="39090955"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Modèle de données commun</w:t>
            </w:r>
          </w:p>
        </w:tc>
        <w:tc>
          <w:tcPr>
            <w:tcW w:w="8385" w:type="dxa"/>
            <w:shd w:val="clear" w:color="auto" w:fill="auto"/>
            <w:tcMar>
              <w:top w:w="100" w:type="dxa"/>
              <w:left w:w="100" w:type="dxa"/>
              <w:bottom w:w="100" w:type="dxa"/>
              <w:right w:w="100" w:type="dxa"/>
            </w:tcMar>
          </w:tcPr>
          <w:p w14:paraId="2AB7C803" w14:textId="77777777" w:rsidR="00434332" w:rsidRDefault="00000000">
            <w:pPr>
              <w:widowControl w:val="0"/>
              <w:spacing w:after="200" w:line="240" w:lineRule="auto"/>
              <w:rPr>
                <w:rFonts w:ascii="Lato" w:eastAsia="Lato" w:hAnsi="Lato" w:cs="Lato"/>
                <w:vertAlign w:val="superscript"/>
              </w:rPr>
            </w:pPr>
            <w:r>
              <w:rPr>
                <w:rFonts w:ascii="Lato" w:eastAsia="Lato" w:hAnsi="Lato" w:cs="Lato"/>
              </w:rPr>
              <w:t>Modèle de données reconnu par un vaste groupe de chercheurs dans l’intention de l’utiliser pour de nombreuses études menées dans un but commun. Certains modèles fournissent des outils qui facilitent l’extraction, la transformation et le chargement de fichiers de données provenant de différentes sources afin de créer un modèle de données convenu (</w:t>
            </w:r>
            <w:hyperlink w:anchor="bookmark=id.7xg0oasgzvjh">
              <w:r w:rsidR="00434332">
                <w:rPr>
                  <w:rFonts w:ascii="Lato" w:eastAsia="Lato" w:hAnsi="Lato" w:cs="Lato"/>
                  <w:color w:val="1155CC"/>
                  <w:u w:val="single"/>
                </w:rPr>
                <w:t>3</w:t>
              </w:r>
            </w:hyperlink>
            <w:r>
              <w:rPr>
                <w:rFonts w:ascii="Lato" w:eastAsia="Lato" w:hAnsi="Lato" w:cs="Lato"/>
              </w:rPr>
              <w:t>).</w:t>
            </w:r>
          </w:p>
          <w:p w14:paraId="6780F587" w14:textId="77777777" w:rsidR="00434332" w:rsidRDefault="00000000">
            <w:pPr>
              <w:widowControl w:val="0"/>
              <w:spacing w:after="200" w:line="240" w:lineRule="auto"/>
              <w:rPr>
                <w:rFonts w:ascii="Lato" w:eastAsia="Lato" w:hAnsi="Lato" w:cs="Lato"/>
              </w:rPr>
            </w:pPr>
            <w:r>
              <w:rPr>
                <w:rFonts w:ascii="Lato" w:eastAsia="Lato" w:hAnsi="Lato" w:cs="Lato"/>
              </w:rPr>
              <w:t>Exemples de modèles de données communs existants :</w:t>
            </w:r>
          </w:p>
          <w:p w14:paraId="59581F19" w14:textId="77777777" w:rsidR="00434332" w:rsidRDefault="00000000">
            <w:pPr>
              <w:widowControl w:val="0"/>
              <w:numPr>
                <w:ilvl w:val="0"/>
                <w:numId w:val="2"/>
              </w:numPr>
              <w:spacing w:after="0" w:line="240" w:lineRule="auto"/>
              <w:rPr>
                <w:rFonts w:ascii="Lato" w:eastAsia="Lato" w:hAnsi="Lato" w:cs="Lato"/>
              </w:rPr>
            </w:pPr>
            <w:r>
              <w:rPr>
                <w:rFonts w:ascii="Lato" w:eastAsia="Lato" w:hAnsi="Lato" w:cs="Lato"/>
              </w:rPr>
              <w:t>Modèle de données commun du Canadian Network for Observational Drug Effect Studies (</w:t>
            </w:r>
            <w:hyperlink w:anchor="bookmark=id.c30rlqs600r5">
              <w:r w:rsidR="00434332">
                <w:rPr>
                  <w:rFonts w:ascii="Lato" w:eastAsia="Lato" w:hAnsi="Lato" w:cs="Lato"/>
                  <w:color w:val="1155CC"/>
                  <w:u w:val="single"/>
                </w:rPr>
                <w:t>4</w:t>
              </w:r>
            </w:hyperlink>
            <w:r>
              <w:rPr>
                <w:rFonts w:ascii="Lato" w:eastAsia="Lato" w:hAnsi="Lato" w:cs="Lato"/>
              </w:rPr>
              <w:t>), une adaptation du modèle Sentinel de la Food and Drug Administration (</w:t>
            </w:r>
            <w:hyperlink w:anchor="bookmark=id.qx3znvd42uhd">
              <w:r w:rsidR="00434332">
                <w:rPr>
                  <w:rFonts w:ascii="Lato" w:eastAsia="Lato" w:hAnsi="Lato" w:cs="Lato"/>
                  <w:color w:val="1155CC"/>
                  <w:u w:val="single"/>
                </w:rPr>
                <w:t>5</w:t>
              </w:r>
            </w:hyperlink>
            <w:r>
              <w:rPr>
                <w:rFonts w:ascii="Lato" w:eastAsia="Lato" w:hAnsi="Lato" w:cs="Lato"/>
              </w:rPr>
              <w:t>).</w:t>
            </w:r>
          </w:p>
          <w:p w14:paraId="24ADE0DE" w14:textId="77777777" w:rsidR="00434332" w:rsidRDefault="00000000">
            <w:pPr>
              <w:widowControl w:val="0"/>
              <w:numPr>
                <w:ilvl w:val="0"/>
                <w:numId w:val="2"/>
              </w:numPr>
              <w:spacing w:after="0" w:line="240" w:lineRule="auto"/>
              <w:rPr>
                <w:rFonts w:ascii="Lato" w:eastAsia="Lato" w:hAnsi="Lato" w:cs="Lato"/>
              </w:rPr>
            </w:pPr>
            <w:r>
              <w:rPr>
                <w:rFonts w:ascii="Lato" w:eastAsia="Lato" w:hAnsi="Lato" w:cs="Lato"/>
              </w:rPr>
              <w:t>Modèle de données commun du Observational Medical Outcomes Partnership (OMOP) (</w:t>
            </w:r>
            <w:hyperlink w:anchor="bookmark=id.z7kl94gf167r">
              <w:r w:rsidR="00434332">
                <w:rPr>
                  <w:rFonts w:ascii="Lato" w:eastAsia="Lato" w:hAnsi="Lato" w:cs="Lato"/>
                  <w:color w:val="1155CC"/>
                  <w:u w:val="single"/>
                </w:rPr>
                <w:t>5</w:t>
              </w:r>
            </w:hyperlink>
            <w:r>
              <w:rPr>
                <w:rFonts w:ascii="Lato" w:eastAsia="Lato" w:hAnsi="Lato" w:cs="Lato"/>
              </w:rPr>
              <w:t>), adopté à différents degrés dans de nombreux pays, y compris les États-Unis, le Royaume-Uni, l’Australie et 22 pays d’Europe.</w:t>
            </w:r>
          </w:p>
          <w:p w14:paraId="3D9875DF" w14:textId="77777777" w:rsidR="00434332" w:rsidRDefault="00000000">
            <w:pPr>
              <w:widowControl w:val="0"/>
              <w:numPr>
                <w:ilvl w:val="0"/>
                <w:numId w:val="2"/>
              </w:numPr>
              <w:spacing w:after="0" w:line="240" w:lineRule="auto"/>
              <w:rPr>
                <w:rFonts w:ascii="Lato" w:eastAsia="Lato" w:hAnsi="Lato" w:cs="Lato"/>
              </w:rPr>
            </w:pPr>
            <w:r>
              <w:rPr>
                <w:rFonts w:ascii="Lato" w:eastAsia="Lato" w:hAnsi="Lato" w:cs="Lato"/>
              </w:rPr>
              <w:t>Modèle de données commun i2b2 (</w:t>
            </w:r>
            <w:hyperlink w:anchor="bookmark=id.r3l1zl91nubo">
              <w:r w:rsidR="00434332">
                <w:rPr>
                  <w:rFonts w:ascii="Lato" w:eastAsia="Lato" w:hAnsi="Lato" w:cs="Lato"/>
                  <w:color w:val="1155CC"/>
                  <w:u w:val="single"/>
                </w:rPr>
                <w:t>7</w:t>
              </w:r>
            </w:hyperlink>
            <w:r>
              <w:rPr>
                <w:rFonts w:ascii="Lato" w:eastAsia="Lato" w:hAnsi="Lato" w:cs="Lato"/>
              </w:rPr>
              <w:t>), utilisé par plus de 250 établissements à l’échelle mondiale.</w:t>
            </w:r>
          </w:p>
          <w:p w14:paraId="1CEEC1F5" w14:textId="77777777" w:rsidR="00434332" w:rsidRDefault="00000000">
            <w:pPr>
              <w:widowControl w:val="0"/>
              <w:numPr>
                <w:ilvl w:val="0"/>
                <w:numId w:val="2"/>
              </w:numPr>
              <w:spacing w:after="200" w:line="240" w:lineRule="auto"/>
              <w:rPr>
                <w:rFonts w:ascii="Lato" w:eastAsia="Lato" w:hAnsi="Lato" w:cs="Lato"/>
              </w:rPr>
            </w:pPr>
            <w:r>
              <w:rPr>
                <w:rFonts w:ascii="Lato" w:eastAsia="Lato" w:hAnsi="Lato" w:cs="Lato"/>
              </w:rPr>
              <w:lastRenderedPageBreak/>
              <w:t>Fast Healthcare Interoperability Resources (FHIR) (</w:t>
            </w:r>
            <w:hyperlink w:anchor="bookmark=id.1u4v9kj6mvf">
              <w:r w:rsidR="00434332">
                <w:rPr>
                  <w:rFonts w:ascii="Lato" w:eastAsia="Lato" w:hAnsi="Lato" w:cs="Lato"/>
                  <w:color w:val="1155CC"/>
                  <w:u w:val="single"/>
                </w:rPr>
                <w:t>8</w:t>
              </w:r>
            </w:hyperlink>
            <w:r>
              <w:rPr>
                <w:rFonts w:ascii="Lato" w:eastAsia="Lato" w:hAnsi="Lato" w:cs="Lato"/>
              </w:rPr>
              <w:t>), avec guides de mise en œuvre pour les États-Unis, l’Australie et la Nouvelle-Zélande.</w:t>
            </w:r>
          </w:p>
        </w:tc>
      </w:tr>
      <w:tr w:rsidR="00434332" w14:paraId="1072CC7D" w14:textId="77777777">
        <w:trPr>
          <w:jc w:val="center"/>
        </w:trPr>
        <w:tc>
          <w:tcPr>
            <w:tcW w:w="2250" w:type="dxa"/>
            <w:shd w:val="clear" w:color="auto" w:fill="auto"/>
            <w:tcMar>
              <w:top w:w="100" w:type="dxa"/>
              <w:left w:w="100" w:type="dxa"/>
              <w:bottom w:w="100" w:type="dxa"/>
              <w:right w:w="100" w:type="dxa"/>
            </w:tcMar>
          </w:tcPr>
          <w:p w14:paraId="4EB854B9"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lastRenderedPageBreak/>
              <w:t>Partition de données</w:t>
            </w:r>
          </w:p>
        </w:tc>
        <w:tc>
          <w:tcPr>
            <w:tcW w:w="8385" w:type="dxa"/>
            <w:shd w:val="clear" w:color="auto" w:fill="auto"/>
            <w:tcMar>
              <w:top w:w="100" w:type="dxa"/>
              <w:left w:w="100" w:type="dxa"/>
              <w:bottom w:w="100" w:type="dxa"/>
              <w:right w:w="100" w:type="dxa"/>
            </w:tcMar>
          </w:tcPr>
          <w:p w14:paraId="10971E51" w14:textId="77777777" w:rsidR="00434332" w:rsidRDefault="00000000">
            <w:pPr>
              <w:widowControl w:val="0"/>
              <w:pBdr>
                <w:top w:val="nil"/>
                <w:left w:val="nil"/>
                <w:bottom w:val="nil"/>
                <w:right w:val="nil"/>
                <w:between w:val="nil"/>
              </w:pBdr>
              <w:spacing w:after="200" w:line="240" w:lineRule="auto"/>
              <w:rPr>
                <w:rFonts w:ascii="Lato" w:eastAsia="Lato" w:hAnsi="Lato" w:cs="Lato"/>
              </w:rPr>
            </w:pPr>
            <w:r>
              <w:rPr>
                <w:rFonts w:ascii="Lato" w:eastAsia="Lato" w:hAnsi="Lato" w:cs="Lato"/>
              </w:rPr>
              <w:t>Sous-ensemble d’une source de données (</w:t>
            </w:r>
            <w:hyperlink w:anchor="bookmark=id.kcui94p79rka">
              <w:r w:rsidR="00434332">
                <w:rPr>
                  <w:rFonts w:ascii="Lato" w:eastAsia="Lato" w:hAnsi="Lato" w:cs="Lato"/>
                  <w:color w:val="1155CC"/>
                  <w:u w:val="single"/>
                </w:rPr>
                <w:t>9</w:t>
              </w:r>
            </w:hyperlink>
            <w:r>
              <w:rPr>
                <w:rFonts w:ascii="Lato" w:eastAsia="Lato" w:hAnsi="Lato" w:cs="Lato"/>
              </w:rPr>
              <w:t>).</w:t>
            </w:r>
          </w:p>
        </w:tc>
      </w:tr>
      <w:tr w:rsidR="00434332" w14:paraId="00658E4B" w14:textId="77777777">
        <w:trPr>
          <w:jc w:val="center"/>
        </w:trPr>
        <w:tc>
          <w:tcPr>
            <w:tcW w:w="2250" w:type="dxa"/>
            <w:shd w:val="clear" w:color="auto" w:fill="auto"/>
            <w:tcMar>
              <w:top w:w="100" w:type="dxa"/>
              <w:left w:w="100" w:type="dxa"/>
              <w:bottom w:w="100" w:type="dxa"/>
              <w:right w:w="100" w:type="dxa"/>
            </w:tcMar>
          </w:tcPr>
          <w:p w14:paraId="1F1BA0B1"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Source de données distribuées</w:t>
            </w:r>
          </w:p>
        </w:tc>
        <w:tc>
          <w:tcPr>
            <w:tcW w:w="8385" w:type="dxa"/>
            <w:shd w:val="clear" w:color="auto" w:fill="auto"/>
            <w:tcMar>
              <w:top w:w="100" w:type="dxa"/>
              <w:left w:w="100" w:type="dxa"/>
              <w:bottom w:w="100" w:type="dxa"/>
              <w:right w:w="100" w:type="dxa"/>
            </w:tcMar>
          </w:tcPr>
          <w:p w14:paraId="01F07282" w14:textId="77777777" w:rsidR="00434332" w:rsidRDefault="00000000">
            <w:pPr>
              <w:widowControl w:val="0"/>
              <w:spacing w:after="200" w:line="240" w:lineRule="auto"/>
              <w:rPr>
                <w:rFonts w:ascii="Lato" w:eastAsia="Lato" w:hAnsi="Lato" w:cs="Lato"/>
              </w:rPr>
            </w:pPr>
            <w:r>
              <w:rPr>
                <w:rFonts w:ascii="Lato" w:eastAsia="Lato" w:hAnsi="Lato" w:cs="Lato"/>
              </w:rPr>
              <w:t>Source de données composée de différentes partitions de données stockées séparément, y compris dans différents lieux physiques, organismes, établissements, centres de données ou serveurs (</w:t>
            </w:r>
            <w:hyperlink w:anchor="bookmark=id.cem8w3ashmlo">
              <w:r w:rsidR="00434332">
                <w:rPr>
                  <w:rFonts w:ascii="Lato" w:eastAsia="Lato" w:hAnsi="Lato" w:cs="Lato"/>
                  <w:color w:val="1155CC"/>
                  <w:u w:val="single"/>
                </w:rPr>
                <w:t>10</w:t>
              </w:r>
            </w:hyperlink>
            <w:r>
              <w:rPr>
                <w:rFonts w:ascii="Lato" w:eastAsia="Lato" w:hAnsi="Lato" w:cs="Lato"/>
              </w:rPr>
              <w:t>) pouvant relever de différentes autorités administratives ou juridiques.</w:t>
            </w:r>
          </w:p>
        </w:tc>
      </w:tr>
      <w:tr w:rsidR="00434332" w14:paraId="3CD48C9B" w14:textId="77777777">
        <w:trPr>
          <w:jc w:val="center"/>
        </w:trPr>
        <w:tc>
          <w:tcPr>
            <w:tcW w:w="2250" w:type="dxa"/>
            <w:shd w:val="clear" w:color="auto" w:fill="auto"/>
            <w:tcMar>
              <w:top w:w="100" w:type="dxa"/>
              <w:left w:w="100" w:type="dxa"/>
              <w:bottom w:w="100" w:type="dxa"/>
              <w:right w:w="100" w:type="dxa"/>
            </w:tcMar>
          </w:tcPr>
          <w:p w14:paraId="5310750A"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Source de données distribuées horizontalement</w:t>
            </w:r>
          </w:p>
        </w:tc>
        <w:tc>
          <w:tcPr>
            <w:tcW w:w="8385" w:type="dxa"/>
            <w:shd w:val="clear" w:color="auto" w:fill="auto"/>
            <w:tcMar>
              <w:top w:w="100" w:type="dxa"/>
              <w:left w:w="100" w:type="dxa"/>
              <w:bottom w:w="100" w:type="dxa"/>
              <w:right w:w="100" w:type="dxa"/>
            </w:tcMar>
          </w:tcPr>
          <w:p w14:paraId="3966EE66" w14:textId="77777777" w:rsidR="00434332" w:rsidRDefault="00000000">
            <w:pPr>
              <w:widowControl w:val="0"/>
              <w:spacing w:after="200" w:line="240" w:lineRule="auto"/>
              <w:rPr>
                <w:rFonts w:ascii="Lato" w:eastAsia="Lato" w:hAnsi="Lato" w:cs="Lato"/>
              </w:rPr>
            </w:pPr>
            <w:r>
              <w:rPr>
                <w:rFonts w:ascii="Lato" w:eastAsia="Lato" w:hAnsi="Lato" w:cs="Lato"/>
              </w:rPr>
              <w:t>Source de données distribuées dans laquelle les partitions comprennent les mêmes caractéristiques ou mesures, mais pour des sujets différents (p. ex. la même structure de données dans différentes provinces) (</w:t>
            </w:r>
            <w:hyperlink w:anchor="bookmark=id.il94aq165js5">
              <w:r w:rsidR="00434332">
                <w:rPr>
                  <w:rFonts w:ascii="Lato" w:eastAsia="Lato" w:hAnsi="Lato" w:cs="Lato"/>
                  <w:color w:val="1155CC"/>
                  <w:u w:val="single"/>
                </w:rPr>
                <w:t>11</w:t>
              </w:r>
            </w:hyperlink>
            <w:r>
              <w:rPr>
                <w:rFonts w:ascii="Lato" w:eastAsia="Lato" w:hAnsi="Lato" w:cs="Lato"/>
              </w:rPr>
              <w:t>).</w:t>
            </w:r>
          </w:p>
        </w:tc>
      </w:tr>
      <w:tr w:rsidR="00434332" w14:paraId="41A2BED2" w14:textId="77777777">
        <w:trPr>
          <w:jc w:val="center"/>
        </w:trPr>
        <w:tc>
          <w:tcPr>
            <w:tcW w:w="2250" w:type="dxa"/>
            <w:shd w:val="clear" w:color="auto" w:fill="auto"/>
            <w:tcMar>
              <w:top w:w="100" w:type="dxa"/>
              <w:left w:w="100" w:type="dxa"/>
              <w:bottom w:w="100" w:type="dxa"/>
              <w:right w:w="100" w:type="dxa"/>
            </w:tcMar>
          </w:tcPr>
          <w:p w14:paraId="4122F013" w14:textId="77777777" w:rsidR="00434332" w:rsidRDefault="00000000">
            <w:pPr>
              <w:widowControl w:val="0"/>
              <w:spacing w:line="240" w:lineRule="auto"/>
              <w:rPr>
                <w:rFonts w:ascii="Lato" w:eastAsia="Lato" w:hAnsi="Lato" w:cs="Lato"/>
                <w:b/>
                <w:color w:val="006A78"/>
              </w:rPr>
            </w:pPr>
            <w:r>
              <w:rPr>
                <w:rFonts w:ascii="Lato" w:eastAsia="Lato" w:hAnsi="Lato" w:cs="Lato"/>
                <w:b/>
                <w:color w:val="006A78"/>
              </w:rPr>
              <w:t>Source de données distribuées verticalement</w:t>
            </w:r>
          </w:p>
        </w:tc>
        <w:tc>
          <w:tcPr>
            <w:tcW w:w="8385" w:type="dxa"/>
            <w:shd w:val="clear" w:color="auto" w:fill="auto"/>
            <w:tcMar>
              <w:top w:w="100" w:type="dxa"/>
              <w:left w:w="100" w:type="dxa"/>
              <w:bottom w:w="100" w:type="dxa"/>
              <w:right w:w="100" w:type="dxa"/>
            </w:tcMar>
          </w:tcPr>
          <w:p w14:paraId="7460D39A" w14:textId="77777777" w:rsidR="00434332" w:rsidRDefault="00000000">
            <w:pPr>
              <w:widowControl w:val="0"/>
              <w:spacing w:after="200" w:line="240" w:lineRule="auto"/>
              <w:rPr>
                <w:rFonts w:ascii="Lato" w:eastAsia="Lato" w:hAnsi="Lato" w:cs="Lato"/>
                <w:i/>
                <w:vertAlign w:val="superscript"/>
              </w:rPr>
            </w:pPr>
            <w:r>
              <w:rPr>
                <w:rFonts w:ascii="Lato" w:eastAsia="Lato" w:hAnsi="Lato" w:cs="Lato"/>
              </w:rPr>
              <w:t>Source de données distribuées dans laquelle les partitions portent sur les mêmes sujets, mais comprennent des caractéristiques différentes (p. ex. fichiers de données différents, l’un qui porte sur l’utilisation des soins de santé, l’autre qui comprend les données d’un sondage) (</w:t>
            </w:r>
            <w:hyperlink w:anchor="bookmark=id.il94aq165js5">
              <w:r w:rsidR="00434332">
                <w:rPr>
                  <w:rFonts w:ascii="Lato" w:eastAsia="Lato" w:hAnsi="Lato" w:cs="Lato"/>
                  <w:color w:val="1155CC"/>
                  <w:u w:val="single"/>
                </w:rPr>
                <w:t>11</w:t>
              </w:r>
            </w:hyperlink>
            <w:r>
              <w:rPr>
                <w:rFonts w:ascii="Lato" w:eastAsia="Lato" w:hAnsi="Lato" w:cs="Lato"/>
              </w:rPr>
              <w:t>).</w:t>
            </w:r>
          </w:p>
        </w:tc>
      </w:tr>
      <w:tr w:rsidR="00434332" w14:paraId="6A7DED47" w14:textId="77777777">
        <w:trPr>
          <w:jc w:val="center"/>
        </w:trPr>
        <w:tc>
          <w:tcPr>
            <w:tcW w:w="2250" w:type="dxa"/>
            <w:shd w:val="clear" w:color="auto" w:fill="auto"/>
            <w:tcMar>
              <w:top w:w="100" w:type="dxa"/>
              <w:left w:w="100" w:type="dxa"/>
              <w:bottom w:w="100" w:type="dxa"/>
              <w:right w:w="100" w:type="dxa"/>
            </w:tcMar>
          </w:tcPr>
          <w:p w14:paraId="1B7F4C24"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Source de données fédérées</w:t>
            </w:r>
          </w:p>
        </w:tc>
        <w:tc>
          <w:tcPr>
            <w:tcW w:w="8385" w:type="dxa"/>
            <w:shd w:val="clear" w:color="auto" w:fill="auto"/>
            <w:tcMar>
              <w:top w:w="100" w:type="dxa"/>
              <w:left w:w="100" w:type="dxa"/>
              <w:bottom w:w="100" w:type="dxa"/>
              <w:right w:w="100" w:type="dxa"/>
            </w:tcMar>
          </w:tcPr>
          <w:p w14:paraId="7D98D059" w14:textId="77777777" w:rsidR="00434332" w:rsidRDefault="00000000">
            <w:pPr>
              <w:widowControl w:val="0"/>
              <w:spacing w:after="200" w:line="240" w:lineRule="auto"/>
              <w:rPr>
                <w:rFonts w:ascii="Lato" w:eastAsia="Lato" w:hAnsi="Lato" w:cs="Lato"/>
                <w:vertAlign w:val="superscript"/>
              </w:rPr>
            </w:pPr>
            <w:r>
              <w:rPr>
                <w:rFonts w:ascii="Lato" w:eastAsia="Lato" w:hAnsi="Lato" w:cs="Lato"/>
              </w:rPr>
              <w:t>Source de données distribuées dans laquelle les partitions suivent le même modèle de données (et modèle d’information) (</w:t>
            </w:r>
            <w:hyperlink w:anchor="bookmark=id.wivff8nwvokv">
              <w:r w:rsidR="00434332">
                <w:rPr>
                  <w:rFonts w:ascii="Lato" w:eastAsia="Lato" w:hAnsi="Lato" w:cs="Lato"/>
                  <w:color w:val="1155CC"/>
                  <w:u w:val="single"/>
                </w:rPr>
                <w:t>12</w:t>
              </w:r>
            </w:hyperlink>
            <w:r>
              <w:rPr>
                <w:rFonts w:ascii="Lato" w:eastAsia="Lato" w:hAnsi="Lato" w:cs="Lato"/>
              </w:rPr>
              <w:t>).</w:t>
            </w:r>
          </w:p>
        </w:tc>
      </w:tr>
      <w:tr w:rsidR="00434332" w14:paraId="4CC3606A" w14:textId="77777777">
        <w:trPr>
          <w:jc w:val="center"/>
        </w:trPr>
        <w:tc>
          <w:tcPr>
            <w:tcW w:w="2250" w:type="dxa"/>
            <w:shd w:val="clear" w:color="auto" w:fill="auto"/>
            <w:tcMar>
              <w:top w:w="100" w:type="dxa"/>
              <w:left w:w="100" w:type="dxa"/>
              <w:bottom w:w="100" w:type="dxa"/>
              <w:right w:w="100" w:type="dxa"/>
            </w:tcMar>
          </w:tcPr>
          <w:p w14:paraId="7C049BE0"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Analyse distribuée</w:t>
            </w:r>
          </w:p>
        </w:tc>
        <w:tc>
          <w:tcPr>
            <w:tcW w:w="8385" w:type="dxa"/>
            <w:shd w:val="clear" w:color="auto" w:fill="auto"/>
            <w:tcMar>
              <w:top w:w="100" w:type="dxa"/>
              <w:left w:w="100" w:type="dxa"/>
              <w:bottom w:w="100" w:type="dxa"/>
              <w:right w:w="100" w:type="dxa"/>
            </w:tcMar>
          </w:tcPr>
          <w:p w14:paraId="57DCCD78" w14:textId="77777777" w:rsidR="00434332" w:rsidRDefault="00000000">
            <w:pPr>
              <w:widowControl w:val="0"/>
              <w:spacing w:after="200" w:line="240" w:lineRule="auto"/>
              <w:rPr>
                <w:rFonts w:ascii="Lato" w:eastAsia="Lato" w:hAnsi="Lato" w:cs="Lato"/>
                <w:vertAlign w:val="superscript"/>
              </w:rPr>
            </w:pPr>
            <w:r>
              <w:rPr>
                <w:rFonts w:ascii="Lato" w:eastAsia="Lato" w:hAnsi="Lato" w:cs="Lato"/>
              </w:rPr>
              <w:t>Analyse statistique d’une source de données distribuées. Elle vise à protéger la confidentialité des données et ne repose pas sur l’échange de données au niveau individuel hors des sites locaux (</w:t>
            </w:r>
            <w:hyperlink w:anchor="bookmark=id.rpyea11ggpfy">
              <w:r w:rsidR="00434332">
                <w:rPr>
                  <w:rFonts w:ascii="Lato" w:eastAsia="Lato" w:hAnsi="Lato" w:cs="Lato"/>
                  <w:color w:val="1155CC"/>
                  <w:u w:val="single"/>
                </w:rPr>
                <w:t>13</w:t>
              </w:r>
            </w:hyperlink>
            <w:r>
              <w:rPr>
                <w:rFonts w:ascii="Lato" w:eastAsia="Lato" w:hAnsi="Lato" w:cs="Lato"/>
              </w:rPr>
              <w:t>).</w:t>
            </w:r>
          </w:p>
        </w:tc>
      </w:tr>
      <w:tr w:rsidR="00434332" w14:paraId="5C4CAC81" w14:textId="77777777">
        <w:trPr>
          <w:jc w:val="center"/>
        </w:trPr>
        <w:tc>
          <w:tcPr>
            <w:tcW w:w="2250" w:type="dxa"/>
            <w:shd w:val="clear" w:color="auto" w:fill="auto"/>
            <w:tcMar>
              <w:top w:w="100" w:type="dxa"/>
              <w:left w:w="100" w:type="dxa"/>
              <w:bottom w:w="100" w:type="dxa"/>
              <w:right w:w="100" w:type="dxa"/>
            </w:tcMar>
          </w:tcPr>
          <w:p w14:paraId="7E56AAF4"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Analyse fédérée</w:t>
            </w:r>
          </w:p>
        </w:tc>
        <w:tc>
          <w:tcPr>
            <w:tcW w:w="8385" w:type="dxa"/>
            <w:shd w:val="clear" w:color="auto" w:fill="auto"/>
            <w:tcMar>
              <w:top w:w="100" w:type="dxa"/>
              <w:left w:w="100" w:type="dxa"/>
              <w:bottom w:w="100" w:type="dxa"/>
              <w:right w:w="100" w:type="dxa"/>
            </w:tcMar>
          </w:tcPr>
          <w:p w14:paraId="5DE95AC9" w14:textId="77777777" w:rsidR="00434332" w:rsidRDefault="00000000">
            <w:pPr>
              <w:widowControl w:val="0"/>
              <w:spacing w:after="200" w:line="240" w:lineRule="auto"/>
              <w:rPr>
                <w:rFonts w:ascii="Lato" w:eastAsia="Lato" w:hAnsi="Lato" w:cs="Lato"/>
              </w:rPr>
            </w:pPr>
            <w:r>
              <w:rPr>
                <w:rFonts w:ascii="Lato" w:eastAsia="Lato" w:hAnsi="Lato" w:cs="Lato"/>
              </w:rPr>
              <w:t>Type d’analyse distribuée réalisée avec des données fédérées. L’utilisation de données fédérées (qui suivent le même modèle de données) simplifie l’analyse, car certains aspects technologiques (système de base de données, types de données, etc.) de l’analyse sont les mêmes, ce qui facilite la production du code analytique requis (</w:t>
            </w:r>
            <w:hyperlink w:anchor="bookmark=id.lmofwt6zqqw2">
              <w:r w:rsidR="00434332">
                <w:rPr>
                  <w:rFonts w:ascii="Lato" w:eastAsia="Lato" w:hAnsi="Lato" w:cs="Lato"/>
                  <w:color w:val="1155CC"/>
                  <w:u w:val="single"/>
                </w:rPr>
                <w:t>14</w:t>
              </w:r>
            </w:hyperlink>
            <w:r>
              <w:rPr>
                <w:rFonts w:ascii="Lato" w:eastAsia="Lato" w:hAnsi="Lato" w:cs="Lato"/>
              </w:rPr>
              <w:t xml:space="preserve">, </w:t>
            </w:r>
            <w:hyperlink w:anchor="bookmark=id.4l88h8ixaaoy">
              <w:r w:rsidR="00434332">
                <w:rPr>
                  <w:rFonts w:ascii="Lato" w:eastAsia="Lato" w:hAnsi="Lato" w:cs="Lato"/>
                  <w:color w:val="1155CC"/>
                  <w:u w:val="single"/>
                </w:rPr>
                <w:t>15</w:t>
              </w:r>
            </w:hyperlink>
            <w:r>
              <w:rPr>
                <w:rFonts w:ascii="Lato" w:eastAsia="Lato" w:hAnsi="Lato" w:cs="Lato"/>
              </w:rPr>
              <w:t>).</w:t>
            </w:r>
          </w:p>
        </w:tc>
      </w:tr>
      <w:tr w:rsidR="00434332" w14:paraId="750B565B" w14:textId="77777777">
        <w:trPr>
          <w:jc w:val="center"/>
        </w:trPr>
        <w:tc>
          <w:tcPr>
            <w:tcW w:w="2250" w:type="dxa"/>
            <w:shd w:val="clear" w:color="auto" w:fill="auto"/>
            <w:tcMar>
              <w:top w:w="100" w:type="dxa"/>
              <w:left w:w="100" w:type="dxa"/>
              <w:bottom w:w="100" w:type="dxa"/>
              <w:right w:w="100" w:type="dxa"/>
            </w:tcMar>
          </w:tcPr>
          <w:p w14:paraId="0482C8C1"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Apprentissage fédéré</w:t>
            </w:r>
          </w:p>
        </w:tc>
        <w:tc>
          <w:tcPr>
            <w:tcW w:w="8385" w:type="dxa"/>
            <w:shd w:val="clear" w:color="auto" w:fill="auto"/>
            <w:tcMar>
              <w:top w:w="100" w:type="dxa"/>
              <w:left w:w="100" w:type="dxa"/>
              <w:bottom w:w="100" w:type="dxa"/>
              <w:right w:w="100" w:type="dxa"/>
            </w:tcMar>
          </w:tcPr>
          <w:p w14:paraId="285C3934" w14:textId="77777777" w:rsidR="00434332" w:rsidRDefault="00000000">
            <w:pPr>
              <w:spacing w:after="200" w:line="240" w:lineRule="auto"/>
              <w:rPr>
                <w:rFonts w:ascii="Lato" w:eastAsia="Lato" w:hAnsi="Lato" w:cs="Lato"/>
              </w:rPr>
            </w:pPr>
            <w:r>
              <w:rPr>
                <w:rFonts w:ascii="Lato" w:eastAsia="Lato" w:hAnsi="Lato" w:cs="Lato"/>
              </w:rPr>
              <w:t>Apprentissage automatique appliqué à des données fédérées. Les modèles sont appliqués localement à chaque nœud afin que seules leurs caractéristiques soient transférées (</w:t>
            </w:r>
            <w:hyperlink w:anchor="bookmark=id.xx8pdi8j6z9h">
              <w:r w:rsidR="00434332">
                <w:rPr>
                  <w:rFonts w:ascii="Lato" w:eastAsia="Lato" w:hAnsi="Lato" w:cs="Lato"/>
                  <w:color w:val="1155CC"/>
                  <w:u w:val="single"/>
                </w:rPr>
                <w:t>16</w:t>
              </w:r>
            </w:hyperlink>
            <w:r>
              <w:rPr>
                <w:rFonts w:ascii="Lato" w:eastAsia="Lato" w:hAnsi="Lato" w:cs="Lato"/>
              </w:rPr>
              <w:t xml:space="preserve">, </w:t>
            </w:r>
            <w:hyperlink w:anchor="bookmark=id.aokrm8s7ytmi">
              <w:r w:rsidR="00434332">
                <w:rPr>
                  <w:rFonts w:ascii="Lato" w:eastAsia="Lato" w:hAnsi="Lato" w:cs="Lato"/>
                  <w:color w:val="1155CC"/>
                  <w:u w:val="single"/>
                </w:rPr>
                <w:t>17</w:t>
              </w:r>
            </w:hyperlink>
            <w:r>
              <w:rPr>
                <w:rFonts w:ascii="Lato" w:eastAsia="Lato" w:hAnsi="Lato" w:cs="Lato"/>
              </w:rPr>
              <w:t>).</w:t>
            </w:r>
          </w:p>
        </w:tc>
      </w:tr>
      <w:tr w:rsidR="00434332" w14:paraId="2239DB00" w14:textId="77777777">
        <w:trPr>
          <w:jc w:val="center"/>
        </w:trPr>
        <w:tc>
          <w:tcPr>
            <w:tcW w:w="2250" w:type="dxa"/>
            <w:shd w:val="clear" w:color="auto" w:fill="auto"/>
            <w:tcMar>
              <w:top w:w="100" w:type="dxa"/>
              <w:left w:w="100" w:type="dxa"/>
              <w:bottom w:w="100" w:type="dxa"/>
              <w:right w:w="100" w:type="dxa"/>
            </w:tcMar>
          </w:tcPr>
          <w:p w14:paraId="4EFCD26D"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Analyse groupée</w:t>
            </w:r>
          </w:p>
        </w:tc>
        <w:tc>
          <w:tcPr>
            <w:tcW w:w="8385" w:type="dxa"/>
            <w:shd w:val="clear" w:color="auto" w:fill="auto"/>
            <w:tcMar>
              <w:top w:w="100" w:type="dxa"/>
              <w:left w:w="100" w:type="dxa"/>
              <w:bottom w:w="100" w:type="dxa"/>
              <w:right w:w="100" w:type="dxa"/>
            </w:tcMar>
          </w:tcPr>
          <w:p w14:paraId="542172B1" w14:textId="77777777" w:rsidR="00434332" w:rsidRDefault="00000000">
            <w:pPr>
              <w:widowControl w:val="0"/>
              <w:spacing w:after="200" w:line="240" w:lineRule="auto"/>
              <w:rPr>
                <w:rFonts w:ascii="Lato" w:eastAsia="Lato" w:hAnsi="Lato" w:cs="Lato"/>
              </w:rPr>
            </w:pPr>
            <w:r>
              <w:rPr>
                <w:rFonts w:ascii="Lato" w:eastAsia="Lato" w:hAnsi="Lato" w:cs="Lato"/>
              </w:rPr>
              <w:t>Analyse statistique où toutes les partitions d’une source de données sont réunies dans le même système.</w:t>
            </w:r>
          </w:p>
        </w:tc>
      </w:tr>
      <w:tr w:rsidR="00434332" w14:paraId="58F8CBED" w14:textId="77777777">
        <w:trPr>
          <w:jc w:val="center"/>
        </w:trPr>
        <w:tc>
          <w:tcPr>
            <w:tcW w:w="2250" w:type="dxa"/>
            <w:shd w:val="clear" w:color="auto" w:fill="auto"/>
            <w:tcMar>
              <w:top w:w="100" w:type="dxa"/>
              <w:left w:w="100" w:type="dxa"/>
              <w:bottom w:w="100" w:type="dxa"/>
              <w:right w:w="100" w:type="dxa"/>
            </w:tcMar>
          </w:tcPr>
          <w:p w14:paraId="20935BA7"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Méta-analyse</w:t>
            </w:r>
          </w:p>
        </w:tc>
        <w:tc>
          <w:tcPr>
            <w:tcW w:w="8385" w:type="dxa"/>
            <w:shd w:val="clear" w:color="auto" w:fill="auto"/>
            <w:tcMar>
              <w:top w:w="100" w:type="dxa"/>
              <w:left w:w="100" w:type="dxa"/>
              <w:bottom w:w="100" w:type="dxa"/>
              <w:right w:w="100" w:type="dxa"/>
            </w:tcMar>
          </w:tcPr>
          <w:p w14:paraId="502FE88A" w14:textId="77777777" w:rsidR="00434332" w:rsidRDefault="00000000">
            <w:pPr>
              <w:widowControl w:val="0"/>
              <w:spacing w:after="200" w:line="240" w:lineRule="auto"/>
              <w:rPr>
                <w:rFonts w:ascii="Lato" w:eastAsia="Lato" w:hAnsi="Lato" w:cs="Lato"/>
              </w:rPr>
            </w:pPr>
            <w:r>
              <w:rPr>
                <w:rFonts w:ascii="Lato" w:eastAsia="Lato" w:hAnsi="Lato" w:cs="Lato"/>
              </w:rPr>
              <w:t>Méthode statistique qui consiste à regrouper les résultats d’un groupe d’études (</w:t>
            </w:r>
            <w:hyperlink w:anchor="bookmark=id.512s5lwtynkn">
              <w:r w:rsidR="00434332">
                <w:rPr>
                  <w:rFonts w:ascii="Lato" w:eastAsia="Lato" w:hAnsi="Lato" w:cs="Lato"/>
                  <w:color w:val="1155CC"/>
                  <w:u w:val="single"/>
                </w:rPr>
                <w:t>18</w:t>
              </w:r>
            </w:hyperlink>
            <w:r>
              <w:rPr>
                <w:rFonts w:ascii="Lato" w:eastAsia="Lato" w:hAnsi="Lato" w:cs="Lato"/>
              </w:rPr>
              <w:t>).</w:t>
            </w:r>
          </w:p>
        </w:tc>
      </w:tr>
      <w:tr w:rsidR="00434332" w14:paraId="59A5E883" w14:textId="77777777">
        <w:trPr>
          <w:jc w:val="center"/>
        </w:trPr>
        <w:tc>
          <w:tcPr>
            <w:tcW w:w="2250" w:type="dxa"/>
            <w:shd w:val="clear" w:color="auto" w:fill="auto"/>
            <w:tcMar>
              <w:top w:w="100" w:type="dxa"/>
              <w:left w:w="100" w:type="dxa"/>
              <w:bottom w:w="100" w:type="dxa"/>
              <w:right w:w="100" w:type="dxa"/>
            </w:tcMar>
          </w:tcPr>
          <w:p w14:paraId="5BB41C1C"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lastRenderedPageBreak/>
              <w:t>Données synthétiques</w:t>
            </w:r>
          </w:p>
        </w:tc>
        <w:tc>
          <w:tcPr>
            <w:tcW w:w="8385" w:type="dxa"/>
            <w:shd w:val="clear" w:color="auto" w:fill="auto"/>
            <w:tcMar>
              <w:top w:w="100" w:type="dxa"/>
              <w:left w:w="100" w:type="dxa"/>
              <w:bottom w:w="100" w:type="dxa"/>
              <w:right w:w="100" w:type="dxa"/>
            </w:tcMar>
          </w:tcPr>
          <w:p w14:paraId="27A75649" w14:textId="77777777" w:rsidR="00434332" w:rsidRDefault="00000000">
            <w:pPr>
              <w:widowControl w:val="0"/>
              <w:spacing w:after="200" w:line="240" w:lineRule="auto"/>
              <w:rPr>
                <w:rFonts w:ascii="Lato" w:eastAsia="Lato" w:hAnsi="Lato" w:cs="Lato"/>
              </w:rPr>
            </w:pPr>
            <w:r>
              <w:rPr>
                <w:rFonts w:ascii="Lato" w:eastAsia="Lato" w:hAnsi="Lato" w:cs="Lato"/>
              </w:rPr>
              <w:t xml:space="preserve">Données générées par des algorithmes dans le cadre de simulations par ordinateur, utilisées en remplacement de données du monde réel dans le but de reproduire certaines caractéristiques d’une distribution de données liée à un phénomène du monde réel. Les données synthétiques peuvent servir à entraîner l’apprentissage fédéré (exemple d’article </w:t>
            </w:r>
            <w:hyperlink r:id="rId9">
              <w:r w:rsidR="00434332">
                <w:rPr>
                  <w:rFonts w:ascii="Lato" w:eastAsia="Lato" w:hAnsi="Lato" w:cs="Lato"/>
                  <w:color w:val="1155CC"/>
                  <w:u w:val="single"/>
                </w:rPr>
                <w:t>ici</w:t>
              </w:r>
            </w:hyperlink>
            <w:r>
              <w:rPr>
                <w:rFonts w:ascii="Lato" w:eastAsia="Lato" w:hAnsi="Lato" w:cs="Lato"/>
              </w:rPr>
              <w:t>) (</w:t>
            </w:r>
            <w:hyperlink w:anchor="bookmark=id.194j70d3wd6l">
              <w:r w:rsidR="00434332">
                <w:rPr>
                  <w:rFonts w:ascii="Lato" w:eastAsia="Lato" w:hAnsi="Lato" w:cs="Lato"/>
                  <w:color w:val="1155CC"/>
                  <w:u w:val="single"/>
                </w:rPr>
                <w:t>19</w:t>
              </w:r>
            </w:hyperlink>
            <w:r>
              <w:rPr>
                <w:rFonts w:ascii="Lato" w:eastAsia="Lato" w:hAnsi="Lato" w:cs="Lato"/>
              </w:rPr>
              <w:t>).</w:t>
            </w:r>
          </w:p>
        </w:tc>
      </w:tr>
      <w:tr w:rsidR="00434332" w14:paraId="07161F3A" w14:textId="77777777">
        <w:trPr>
          <w:trHeight w:val="327"/>
          <w:jc w:val="center"/>
        </w:trPr>
        <w:tc>
          <w:tcPr>
            <w:tcW w:w="2250" w:type="dxa"/>
            <w:shd w:val="clear" w:color="auto" w:fill="auto"/>
            <w:tcMar>
              <w:top w:w="100" w:type="dxa"/>
              <w:left w:w="100" w:type="dxa"/>
              <w:bottom w:w="100" w:type="dxa"/>
              <w:right w:w="100" w:type="dxa"/>
            </w:tcMar>
          </w:tcPr>
          <w:p w14:paraId="4CD5DA0F" w14:textId="77777777" w:rsidR="00434332" w:rsidRDefault="00000000">
            <w:pPr>
              <w:widowControl w:val="0"/>
              <w:spacing w:after="0" w:line="240" w:lineRule="auto"/>
              <w:rPr>
                <w:rFonts w:ascii="Lato" w:eastAsia="Lato" w:hAnsi="Lato" w:cs="Lato"/>
                <w:b/>
                <w:color w:val="006A78"/>
              </w:rPr>
            </w:pPr>
            <w:r>
              <w:rPr>
                <w:rFonts w:ascii="Lato" w:eastAsia="Lato" w:hAnsi="Lato" w:cs="Lato"/>
                <w:b/>
                <w:color w:val="006A78"/>
              </w:rPr>
              <w:t>Environnements de confiance</w:t>
            </w:r>
          </w:p>
        </w:tc>
        <w:tc>
          <w:tcPr>
            <w:tcW w:w="8385" w:type="dxa"/>
            <w:shd w:val="clear" w:color="auto" w:fill="auto"/>
            <w:tcMar>
              <w:top w:w="100" w:type="dxa"/>
              <w:left w:w="100" w:type="dxa"/>
              <w:bottom w:w="100" w:type="dxa"/>
              <w:right w:w="100" w:type="dxa"/>
            </w:tcMar>
          </w:tcPr>
          <w:p w14:paraId="431B3D94" w14:textId="77777777" w:rsidR="00434332" w:rsidRDefault="00000000">
            <w:pPr>
              <w:widowControl w:val="0"/>
              <w:spacing w:after="200" w:line="240" w:lineRule="auto"/>
              <w:rPr>
                <w:rFonts w:ascii="Lato" w:eastAsia="Lato" w:hAnsi="Lato" w:cs="Lato"/>
                <w:vertAlign w:val="superscript"/>
              </w:rPr>
            </w:pPr>
            <w:r>
              <w:rPr>
                <w:rFonts w:ascii="Lato" w:eastAsia="Lato" w:hAnsi="Lato" w:cs="Lato"/>
              </w:rPr>
              <w:t>Environnements informatiques hautement sécurisés qui permettent un accès à distance aux données (</w:t>
            </w:r>
            <w:hyperlink w:anchor="bookmark=id.41q9lit3raay">
              <w:r w:rsidR="00434332">
                <w:rPr>
                  <w:rFonts w:ascii="Lato" w:eastAsia="Lato" w:hAnsi="Lato" w:cs="Lato"/>
                  <w:color w:val="1155CC"/>
                  <w:u w:val="single"/>
                </w:rPr>
                <w:t>20</w:t>
              </w:r>
            </w:hyperlink>
            <w:r>
              <w:rPr>
                <w:rFonts w:ascii="Lato" w:eastAsia="Lato" w:hAnsi="Lato" w:cs="Lato"/>
              </w:rPr>
              <w:t xml:space="preserve">, </w:t>
            </w:r>
            <w:hyperlink w:anchor="bookmark=id.v0sdlz6xk6ix">
              <w:r w:rsidR="00434332">
                <w:rPr>
                  <w:rFonts w:ascii="Lato" w:eastAsia="Lato" w:hAnsi="Lato" w:cs="Lato"/>
                  <w:color w:val="1155CC"/>
                  <w:u w:val="single"/>
                </w:rPr>
                <w:t>21</w:t>
              </w:r>
            </w:hyperlink>
            <w:r>
              <w:rPr>
                <w:rFonts w:ascii="Lato" w:eastAsia="Lato" w:hAnsi="Lato" w:cs="Lato"/>
              </w:rPr>
              <w:t>).</w:t>
            </w:r>
          </w:p>
        </w:tc>
      </w:tr>
    </w:tbl>
    <w:p w14:paraId="76B899FB" w14:textId="77777777" w:rsidR="00434332" w:rsidRDefault="00000000">
      <w:pPr>
        <w:pBdr>
          <w:top w:val="nil"/>
          <w:left w:val="nil"/>
          <w:bottom w:val="nil"/>
          <w:right w:val="nil"/>
          <w:between w:val="nil"/>
        </w:pBdr>
        <w:spacing w:after="0"/>
        <w:rPr>
          <w:rFonts w:ascii="Lato" w:eastAsia="Lato" w:hAnsi="Lato" w:cs="Lato"/>
          <w:sz w:val="22"/>
        </w:rPr>
      </w:pPr>
      <w:r>
        <w:br w:type="page"/>
      </w:r>
    </w:p>
    <w:p w14:paraId="22F82EF1" w14:textId="77777777" w:rsidR="00434332" w:rsidRDefault="00000000">
      <w:pPr>
        <w:pStyle w:val="Heading1"/>
        <w:tabs>
          <w:tab w:val="center" w:pos="5400"/>
        </w:tabs>
        <w:spacing w:before="240"/>
      </w:pPr>
      <w:bookmarkStart w:id="1" w:name="_heading=h.zwi0ibm8n5q" w:colFirst="0" w:colLast="0"/>
      <w:bookmarkEnd w:id="1"/>
      <w:r>
        <w:lastRenderedPageBreak/>
        <w:t>Références</w:t>
      </w:r>
      <w:r>
        <w:tab/>
      </w:r>
    </w:p>
    <w:bookmarkStart w:id="2" w:name="bookmark=id.e0i2vjdmod1h" w:colFirst="0" w:colLast="0"/>
    <w:bookmarkEnd w:id="2"/>
    <w:p w14:paraId="262D97AA" w14:textId="041F7CFB" w:rsidR="00434332" w:rsidRPr="00E9436D" w:rsidRDefault="00E9436D">
      <w:pPr>
        <w:widowControl w:val="0"/>
        <w:numPr>
          <w:ilvl w:val="0"/>
          <w:numId w:val="1"/>
        </w:numPr>
        <w:spacing w:after="200" w:line="276" w:lineRule="auto"/>
        <w:rPr>
          <w:rStyle w:val="Hyperlink"/>
        </w:rPr>
      </w:pPr>
      <w:r>
        <w:rPr>
          <w:rFonts w:ascii="Lato" w:eastAsia="Lato" w:hAnsi="Lato" w:cs="Lato"/>
          <w:color w:val="1155CC"/>
          <w:sz w:val="22"/>
          <w:u w:val="single"/>
        </w:rPr>
        <w:fldChar w:fldCharType="begin"/>
      </w:r>
      <w:r>
        <w:rPr>
          <w:rFonts w:ascii="Lato" w:eastAsia="Lato" w:hAnsi="Lato" w:cs="Lato"/>
          <w:color w:val="1155CC"/>
          <w:sz w:val="22"/>
          <w:u w:val="single"/>
        </w:rPr>
        <w:instrText>HYPERLINK "https://www.cihi.ca/fr/soins-connectes/cadre-pancanadien-de-contenu-des-donnees-sur-la-sante" \o "Cadre pancanadien de contenu des données sur la santé"</w:instrText>
      </w:r>
      <w:r>
        <w:rPr>
          <w:rFonts w:ascii="Lato" w:eastAsia="Lato" w:hAnsi="Lato" w:cs="Lato"/>
          <w:color w:val="1155CC"/>
          <w:sz w:val="22"/>
          <w:u w:val="single"/>
        </w:rPr>
      </w:r>
      <w:r>
        <w:rPr>
          <w:rFonts w:ascii="Lato" w:eastAsia="Lato" w:hAnsi="Lato" w:cs="Lato"/>
          <w:color w:val="1155CC"/>
          <w:sz w:val="22"/>
          <w:u w:val="single"/>
        </w:rPr>
        <w:fldChar w:fldCharType="separate"/>
      </w:r>
      <w:r w:rsidRPr="00E9436D">
        <w:rPr>
          <w:rStyle w:val="Hyperlink"/>
          <w:rFonts w:ascii="Lato" w:eastAsia="Lato" w:hAnsi="Lato" w:cs="Lato"/>
          <w:sz w:val="22"/>
        </w:rPr>
        <w:t>Cadre pancanadien de contenu des données sur la santé</w:t>
      </w:r>
    </w:p>
    <w:bookmarkStart w:id="3" w:name="bookmark=id.ekj5uf272ww2" w:colFirst="0" w:colLast="0"/>
    <w:bookmarkEnd w:id="3"/>
    <w:p w14:paraId="3E200C81" w14:textId="3E976422" w:rsidR="00434332" w:rsidRPr="00E9436D" w:rsidRDefault="00E9436D">
      <w:pPr>
        <w:numPr>
          <w:ilvl w:val="0"/>
          <w:numId w:val="1"/>
        </w:numPr>
        <w:spacing w:after="200" w:line="276" w:lineRule="auto"/>
        <w:rPr>
          <w:rStyle w:val="Hyperlink"/>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"https://www.ncbi.nlm.nih.gov/pmc/articles/PMC3824370/" \o "Data Model Considerations for Clinical Effectiveness Researchers"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E9436D">
        <w:rPr>
          <w:rStyle w:val="Hyperlink"/>
          <w:rFonts w:ascii="Lato" w:eastAsia="Lato" w:hAnsi="Lato" w:cs="Lato"/>
          <w:sz w:val="22"/>
        </w:rPr>
        <w:t>Data Model Considerations for Clinical Effectiveness Researchers</w:t>
      </w:r>
    </w:p>
    <w:bookmarkStart w:id="4" w:name="bookmark=id.7xg0oasgzvjh" w:colFirst="0" w:colLast="0"/>
    <w:bookmarkEnd w:id="4"/>
    <w:p w14:paraId="6E8C9018" w14:textId="18E98F25" w:rsidR="00434332" w:rsidRPr="00E0203C" w:rsidRDefault="00E9436D">
      <w:pPr>
        <w:numPr>
          <w:ilvl w:val="0"/>
          <w:numId w:val="1"/>
        </w:numPr>
        <w:spacing w:after="200" w:line="276" w:lineRule="auto"/>
        <w:rPr>
          <w:rStyle w:val="Hyperlink"/>
        </w:rPr>
      </w:pPr>
      <w:r>
        <w:rPr>
          <w:rFonts w:ascii="Lato" w:eastAsia="Lato" w:hAnsi="Lato" w:cs="Lato"/>
          <w:color w:val="1155CC"/>
          <w:sz w:val="22"/>
          <w:u w:val="single"/>
        </w:rPr>
        <w:fldChar w:fldCharType="end"/>
      </w:r>
      <w:r w:rsidR="00E0203C">
        <w:rPr>
          <w:rFonts w:ascii="Lato" w:eastAsia="Lato" w:hAnsi="Lato" w:cs="Lato"/>
          <w:color w:val="1155CC"/>
          <w:sz w:val="22"/>
          <w:u w:val="single"/>
        </w:rPr>
        <w:fldChar w:fldCharType="begin"/>
      </w:r>
      <w:r w:rsidR="00E0203C">
        <w:rPr>
          <w:rFonts w:ascii="Lato" w:eastAsia="Lato" w:hAnsi="Lato" w:cs="Lato"/>
          <w:color w:val="1155CC"/>
          <w:sz w:val="22"/>
          <w:u w:val="single"/>
        </w:rPr>
        <w:instrText>HYPERLINK "https://ohdsi.github.io/TheBookOfOhdsi/CommonDataModel.html" \o "The Book of OHDSI: Chapter 4 The Common Data Model"</w:instrText>
      </w:r>
      <w:r w:rsidR="00E0203C">
        <w:rPr>
          <w:rFonts w:ascii="Lato" w:eastAsia="Lato" w:hAnsi="Lato" w:cs="Lato"/>
          <w:color w:val="1155CC"/>
          <w:sz w:val="22"/>
          <w:u w:val="single"/>
        </w:rPr>
      </w:r>
      <w:r w:rsidR="00E0203C">
        <w:rPr>
          <w:rFonts w:ascii="Lato" w:eastAsia="Lato" w:hAnsi="Lato" w:cs="Lato"/>
          <w:color w:val="1155CC"/>
          <w:sz w:val="22"/>
          <w:u w:val="single"/>
        </w:rPr>
        <w:fldChar w:fldCharType="separate"/>
      </w:r>
      <w:r w:rsidRPr="00E0203C">
        <w:rPr>
          <w:rStyle w:val="Hyperlink"/>
          <w:rFonts w:ascii="Lato" w:eastAsia="Lato" w:hAnsi="Lato" w:cs="Lato"/>
          <w:sz w:val="22"/>
        </w:rPr>
        <w:t>The Book of OHDSI: Chapter 4 The Common Data Model</w:t>
      </w:r>
    </w:p>
    <w:bookmarkStart w:id="5" w:name="bookmark=id.c30rlqs600r5" w:colFirst="0" w:colLast="0"/>
    <w:bookmarkEnd w:id="5"/>
    <w:p w14:paraId="2180E3C1" w14:textId="35B36B0F" w:rsidR="00434332" w:rsidRPr="004E2787" w:rsidRDefault="00E0203C">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sidR="004E2787">
        <w:rPr>
          <w:rFonts w:ascii="Lato" w:eastAsia="Lato" w:hAnsi="Lato" w:cs="Lato"/>
          <w:color w:val="1155CC"/>
          <w:sz w:val="22"/>
          <w:u w:val="single"/>
        </w:rPr>
        <w:fldChar w:fldCharType="begin"/>
      </w:r>
      <w:r w:rsidR="004E2787">
        <w:rPr>
          <w:rFonts w:ascii="Lato" w:eastAsia="Lato" w:hAnsi="Lato" w:cs="Lato"/>
          <w:color w:val="1155CC"/>
          <w:sz w:val="22"/>
          <w:u w:val="single"/>
        </w:rPr>
        <w:instrText>HYPERLINK "http://www.cnodes.ca/" \o "CNODES"</w:instrText>
      </w:r>
      <w:r w:rsidR="004E2787">
        <w:rPr>
          <w:rFonts w:ascii="Lato" w:eastAsia="Lato" w:hAnsi="Lato" w:cs="Lato"/>
          <w:color w:val="1155CC"/>
          <w:sz w:val="22"/>
          <w:u w:val="single"/>
        </w:rPr>
      </w:r>
      <w:r w:rsidR="004E2787">
        <w:rPr>
          <w:rFonts w:ascii="Lato" w:eastAsia="Lato" w:hAnsi="Lato" w:cs="Lato"/>
          <w:color w:val="1155CC"/>
          <w:sz w:val="22"/>
          <w:u w:val="single"/>
        </w:rPr>
        <w:fldChar w:fldCharType="separate"/>
      </w:r>
      <w:r w:rsidRPr="004E2787">
        <w:rPr>
          <w:rStyle w:val="Hyperlink"/>
          <w:rFonts w:ascii="Lato" w:eastAsia="Lato" w:hAnsi="Lato" w:cs="Lato"/>
          <w:sz w:val="22"/>
        </w:rPr>
        <w:t>CNODES</w:t>
      </w:r>
    </w:p>
    <w:bookmarkStart w:id="6" w:name="bookmark=id.qx3znvd42uhd" w:colFirst="0" w:colLast="0"/>
    <w:bookmarkEnd w:id="6"/>
    <w:p w14:paraId="68AE207A" w14:textId="54B67ABE"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"https://www.sentinelinitiative.org/methods-data-tools/sentinel-common-data-model" \o "FDA Sentinel CDM"</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FDA Sentinel CDM</w:t>
      </w:r>
    </w:p>
    <w:bookmarkStart w:id="7" w:name="bookmark=id.z7kl94gf167r" w:colFirst="0" w:colLast="0"/>
    <w:bookmarkEnd w:id="7"/>
    <w:p w14:paraId="7B20DF74" w14:textId="36C38FC5"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"https://www.ohdsi.org/data-standardization/" \o "OMOP"</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OMOP</w:t>
      </w:r>
    </w:p>
    <w:bookmarkStart w:id="8" w:name="bookmark=id.r3l1zl91nubo" w:colFirst="0" w:colLast="0"/>
    <w:bookmarkEnd w:id="8"/>
    <w:p w14:paraId="37295E00" w14:textId="7A81BC4F"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"https://community.i2b2.org/wiki/display/BUN/i2b2+Common+Data+Model+Documentation" \o "i2b2 CDM"</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i2b2 CDM</w:t>
      </w:r>
    </w:p>
    <w:bookmarkStart w:id="9" w:name="bookmark=id.1u4v9kj6mvf" w:colFirst="0" w:colLast="0"/>
    <w:bookmarkEnd w:id="9"/>
    <w:p w14:paraId="4907FF64" w14:textId="24281F30"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"https://hl7.org/fhir/summary.html" \o "FHIR CDM"</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FHIR CDM</w:t>
      </w:r>
    </w:p>
    <w:bookmarkStart w:id="10" w:name="bookmark=id.kcui94p79rka" w:colFirst="0" w:colLast="0"/>
    <w:bookmarkEnd w:id="10"/>
    <w:p w14:paraId="52DD6D8D" w14:textId="2A91161E"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"https://icl.utk.edu/~herault/papers/040%20-%20Determining%20the%20optimal%20redistribution%20for%20a%20given%20data%20partition%20-%20ISPDC%20(2014).pdf" \o "Determining the optimal redistribution for a given data partition"</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Determining the optimal redistribution for a given data partition</w:t>
      </w:r>
    </w:p>
    <w:bookmarkStart w:id="11" w:name="bookmark=id.cem8w3ashmlo" w:colFirst="0" w:colLast="0"/>
    <w:bookmarkEnd w:id="11"/>
    <w:p w14:paraId="13C0AC57" w14:textId="3F725C1A"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"https://arxiv.org/pdf/1712.04146" \o "A Random Sample Partition Data Model for Big Data Analysis"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A Random Sample Partition Data Model for Big Data Analysis</w:t>
      </w:r>
    </w:p>
    <w:bookmarkStart w:id="12" w:name="bookmark=id.il94aq165js5" w:colFirst="0" w:colLast="0"/>
    <w:bookmarkEnd w:id="12"/>
    <w:p w14:paraId="61A05195" w14:textId="2AB89C39" w:rsidR="00434332" w:rsidRDefault="004E2787">
      <w:pPr>
        <w:numPr>
          <w:ilvl w:val="0"/>
          <w:numId w:val="1"/>
        </w:numPr>
        <w:spacing w:after="200" w:line="276" w:lineRule="auto"/>
        <w:rPr>
          <w:rFonts w:ascii="Lato" w:eastAsia="Lato" w:hAnsi="Lato" w:cs="Lato"/>
          <w:sz w:val="22"/>
        </w:rPr>
      </w:pPr>
      <w:r>
        <w:rPr>
          <w:rFonts w:ascii="Lato" w:eastAsia="Lato" w:hAnsi="Lato" w:cs="Lato"/>
          <w:color w:val="1155CC"/>
          <w:sz w:val="22"/>
          <w:u w:val="single"/>
        </w:rPr>
        <w:fldChar w:fldCharType="end"/>
      </w:r>
      <w:hyperlink r:id="rId10" w:tooltip="Federated machine learning: Concept and applications">
        <w:r>
          <w:rPr>
            <w:rFonts w:ascii="Lato" w:eastAsia="Lato" w:hAnsi="Lato" w:cs="Lato"/>
            <w:color w:val="1155CC"/>
            <w:sz w:val="22"/>
            <w:u w:val="single"/>
          </w:rPr>
          <w:t>Federated machine learning: Concept and applications</w:t>
        </w:r>
      </w:hyperlink>
    </w:p>
    <w:bookmarkStart w:id="13" w:name="bookmark=id.wivff8nwvokv" w:colFirst="0" w:colLast="0"/>
    <w:bookmarkEnd w:id="13"/>
    <w:p w14:paraId="5E66A202" w14:textId="60A5A7ED"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begin"/>
      </w:r>
      <w:r>
        <w:rPr>
          <w:rFonts w:ascii="Lato" w:eastAsia="Lato" w:hAnsi="Lato" w:cs="Lato"/>
          <w:color w:val="1155CC"/>
          <w:sz w:val="22"/>
          <w:u w:val="single"/>
        </w:rPr>
        <w:instrText>HYPERLINK "https://www3.weforum.org/docs/WEF_Federated_Data_Systems_2019.pdf" \o "Federated Data Systems: Balancing Innovation and Trust in the Use of Sensitive Data"</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Federated Data Systems: Balancing Innovation and Trust in the Use of Sensitive Data</w:t>
      </w:r>
    </w:p>
    <w:bookmarkStart w:id="14" w:name="bookmark=id.rpyea11ggpfy" w:colFirst="0" w:colLast="0"/>
    <w:bookmarkEnd w:id="14"/>
    <w:p w14:paraId="2262219C" w14:textId="74056F14"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"https://ieeexplore.ieee.org/stamp/stamp.jsp?arnumber=7442496" \o "Wide Area Analytics for Geographically Distributed Datacenters"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Wide Area Analytics for Geographically Distributed Datacenters</w:t>
      </w:r>
    </w:p>
    <w:bookmarkStart w:id="15" w:name="bookmark=id.lmofwt6zqqw2" w:colFirst="0" w:colLast="0"/>
    <w:bookmarkEnd w:id="15"/>
    <w:p w14:paraId="29B03351" w14:textId="6A114AA6"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"https://ieeexplore.ieee.org/abstract/document/9617564" \o "Federated Analytics: Opportunities and Challenges"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Federated Analytics: Opportunities and Challenges</w:t>
      </w:r>
    </w:p>
    <w:bookmarkStart w:id="16" w:name="bookmark=id.4l88h8ixaaoy" w:colFirst="0" w:colLast="0"/>
    <w:bookmarkEnd w:id="16"/>
    <w:p w14:paraId="67AD7580" w14:textId="1D0CE6FE" w:rsidR="00434332" w:rsidRDefault="004E2787">
      <w:pPr>
        <w:numPr>
          <w:ilvl w:val="0"/>
          <w:numId w:val="1"/>
        </w:numPr>
        <w:spacing w:after="200" w:line="276" w:lineRule="auto"/>
        <w:rPr>
          <w:rFonts w:ascii="Lato" w:eastAsia="Lato" w:hAnsi="Lato" w:cs="Lato"/>
          <w:sz w:val="22"/>
        </w:rPr>
      </w:pPr>
      <w:r>
        <w:rPr>
          <w:rFonts w:ascii="Lato" w:eastAsia="Lato" w:hAnsi="Lato" w:cs="Lato"/>
          <w:color w:val="1155CC"/>
          <w:sz w:val="22"/>
          <w:u w:val="single"/>
        </w:rPr>
        <w:fldChar w:fldCharType="end"/>
      </w:r>
      <w:hyperlink r:id="rId11" w:tooltip="Blueprint for harmonising unstandardised disease registries to allow federated data analysis">
        <w:r>
          <w:rPr>
            <w:rFonts w:ascii="Lato" w:eastAsia="Lato" w:hAnsi="Lato" w:cs="Lato"/>
            <w:color w:val="1155CC"/>
            <w:sz w:val="22"/>
            <w:u w:val="single"/>
          </w:rPr>
          <w:t>Blueprint for harmonising unstandardised disease registries to allow federated data analysis</w:t>
        </w:r>
      </w:hyperlink>
    </w:p>
    <w:bookmarkStart w:id="17" w:name="bookmark=id.xx8pdi8j6z9h" w:colFirst="0" w:colLast="0"/>
    <w:bookmarkEnd w:id="17"/>
    <w:p w14:paraId="0481AFDB" w14:textId="6E027E72"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begin"/>
      </w:r>
      <w:r>
        <w:rPr>
          <w:rFonts w:ascii="Lato" w:eastAsia="Lato" w:hAnsi="Lato" w:cs="Lato"/>
          <w:color w:val="1155CC"/>
          <w:sz w:val="22"/>
          <w:u w:val="single"/>
        </w:rPr>
        <w:instrText>HYPERLINK "https://arxiv.org/pdf/1911.06270.pdf" \o "Federated learning for healthcare informatics"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Federated learning for healthcare informatics</w:t>
      </w:r>
    </w:p>
    <w:bookmarkStart w:id="18" w:name="bookmark=id.aokrm8s7ytmi" w:colFirst="0" w:colLast="0"/>
    <w:bookmarkEnd w:id="18"/>
    <w:p w14:paraId="7E441DCD" w14:textId="26A51507"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"https://www.nature.com/articles/s41746-020-00323-1" \o "The future of digital health with federated learning"</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The future of digital health with federated learning</w:t>
      </w:r>
    </w:p>
    <w:bookmarkStart w:id="19" w:name="bookmark=id.512s5lwtynkn" w:colFirst="0" w:colLast="0"/>
    <w:bookmarkEnd w:id="19"/>
    <w:p w14:paraId="163838FC" w14:textId="77F952D5" w:rsidR="00434332" w:rsidRPr="004E2787"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"https://www.ncbi.nlm.nih.gov/pmc/articles/PMC1060723/" \o "The potential and limitations of meta-analysis"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4E2787">
        <w:rPr>
          <w:rStyle w:val="Hyperlink"/>
          <w:rFonts w:ascii="Lato" w:eastAsia="Lato" w:hAnsi="Lato" w:cs="Lato"/>
          <w:sz w:val="22"/>
        </w:rPr>
        <w:t>The potential and limitations of meta-analysis</w:t>
      </w:r>
    </w:p>
    <w:bookmarkStart w:id="20" w:name="bookmark=id.194j70d3wd6l" w:colFirst="0" w:colLast="0"/>
    <w:bookmarkEnd w:id="20"/>
    <w:p w14:paraId="05EEEA9A" w14:textId="40EA34E2" w:rsidR="00434332" w:rsidRPr="00B278C1" w:rsidRDefault="004E2787">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sidR="00B278C1">
        <w:rPr>
          <w:rFonts w:ascii="Lato" w:eastAsia="Lato" w:hAnsi="Lato" w:cs="Lato"/>
          <w:color w:val="1155CC"/>
          <w:sz w:val="22"/>
          <w:u w:val="single"/>
        </w:rPr>
        <w:fldChar w:fldCharType="begin"/>
      </w:r>
      <w:r w:rsidR="00B278C1">
        <w:rPr>
          <w:rFonts w:ascii="Lato" w:eastAsia="Lato" w:hAnsi="Lato" w:cs="Lato"/>
          <w:color w:val="1155CC"/>
          <w:sz w:val="22"/>
          <w:u w:val="single"/>
        </w:rPr>
        <w:instrText>HYPERLINK "https://ieeexplore.ieee.org/abstract/document/8759317?casa_token=1WLUf7WMvzYAAAAA:EwcJPrQHyBdcrdesOr9gAuPUPxj6LtyeLemxycl7jlyYlH4s8wH0k-Fsx62rx3IcbrPyysaN" \o "Synthetic data example"</w:instrText>
      </w:r>
      <w:r w:rsidR="00B278C1">
        <w:rPr>
          <w:rFonts w:ascii="Lato" w:eastAsia="Lato" w:hAnsi="Lato" w:cs="Lato"/>
          <w:color w:val="1155CC"/>
          <w:sz w:val="22"/>
          <w:u w:val="single"/>
        </w:rPr>
      </w:r>
      <w:r w:rsidR="00B278C1">
        <w:rPr>
          <w:rFonts w:ascii="Lato" w:eastAsia="Lato" w:hAnsi="Lato" w:cs="Lato"/>
          <w:color w:val="1155CC"/>
          <w:sz w:val="22"/>
          <w:u w:val="single"/>
        </w:rPr>
        <w:fldChar w:fldCharType="separate"/>
      </w:r>
      <w:r w:rsidRPr="00B278C1">
        <w:rPr>
          <w:rStyle w:val="Hyperlink"/>
          <w:rFonts w:ascii="Lato" w:eastAsia="Lato" w:hAnsi="Lato" w:cs="Lato"/>
          <w:sz w:val="22"/>
        </w:rPr>
        <w:t>Synthetic data example</w:t>
      </w:r>
    </w:p>
    <w:bookmarkStart w:id="21" w:name="bookmark=id.41q9lit3raay" w:colFirst="0" w:colLast="0"/>
    <w:bookmarkEnd w:id="21"/>
    <w:p w14:paraId="39AABB43" w14:textId="188F546A" w:rsidR="00434332" w:rsidRPr="00B278C1" w:rsidRDefault="00B278C1">
      <w:pPr>
        <w:numPr>
          <w:ilvl w:val="0"/>
          <w:numId w:val="1"/>
        </w:numPr>
        <w:spacing w:after="200" w:line="276" w:lineRule="auto"/>
        <w:rPr>
          <w:rStyle w:val="Hyperlink"/>
          <w:rFonts w:ascii="Lato" w:eastAsia="Lato" w:hAnsi="Lato" w:cs="Lato"/>
          <w:sz w:val="22"/>
        </w:rPr>
      </w:pPr>
      <w:r>
        <w:rPr>
          <w:rFonts w:ascii="Lato" w:eastAsia="Lato" w:hAnsi="Lato" w:cs="Lato"/>
          <w:color w:val="1155CC"/>
          <w:sz w:val="22"/>
          <w:u w:val="single"/>
        </w:rPr>
        <w:fldChar w:fldCharType="end"/>
      </w:r>
      <w:r>
        <w:rPr>
          <w:rFonts w:ascii="Lato" w:eastAsia="Lato" w:hAnsi="Lato" w:cs="Lato"/>
          <w:color w:val="1155CC"/>
          <w:sz w:val="22"/>
          <w:u w:val="single"/>
        </w:rPr>
        <w:fldChar w:fldCharType="begin"/>
      </w:r>
      <w:r>
        <w:rPr>
          <w:rFonts w:ascii="Lato" w:eastAsia="Lato" w:hAnsi="Lato" w:cs="Lato"/>
          <w:color w:val="1155CC"/>
          <w:sz w:val="22"/>
          <w:u w:val="single"/>
        </w:rPr>
        <w:instrText>HYPERLINK "https://www.hdruk.org/access-to-health-data/trusted-research-environments/" \o "Trusted Research Environments"</w:instrText>
      </w:r>
      <w:r>
        <w:rPr>
          <w:rFonts w:ascii="Lato" w:eastAsia="Lato" w:hAnsi="Lato" w:cs="Lato"/>
          <w:color w:val="1155CC"/>
          <w:sz w:val="22"/>
          <w:u w:val="single"/>
        </w:rPr>
      </w:r>
      <w:r>
        <w:rPr>
          <w:rFonts w:ascii="Lato" w:eastAsia="Lato" w:hAnsi="Lato" w:cs="Lato"/>
          <w:color w:val="1155CC"/>
          <w:sz w:val="22"/>
          <w:u w:val="single"/>
        </w:rPr>
        <w:fldChar w:fldCharType="separate"/>
      </w:r>
      <w:r w:rsidRPr="00B278C1">
        <w:rPr>
          <w:rStyle w:val="Hyperlink"/>
          <w:rFonts w:ascii="Lato" w:eastAsia="Lato" w:hAnsi="Lato" w:cs="Lato"/>
          <w:sz w:val="22"/>
        </w:rPr>
        <w:t>Trusted Research Environments</w:t>
      </w:r>
    </w:p>
    <w:bookmarkStart w:id="22" w:name="bookmark=id.v0sdlz6xk6ix" w:colFirst="0" w:colLast="0"/>
    <w:bookmarkEnd w:id="22"/>
    <w:p w14:paraId="65DEBE59" w14:textId="7921BF9D" w:rsidR="00434332" w:rsidRDefault="00B278C1">
      <w:pPr>
        <w:numPr>
          <w:ilvl w:val="0"/>
          <w:numId w:val="1"/>
        </w:numPr>
        <w:spacing w:after="200" w:line="276" w:lineRule="auto"/>
        <w:rPr>
          <w:rFonts w:ascii="Lato" w:eastAsia="Lato" w:hAnsi="Lato" w:cs="Lato"/>
          <w:sz w:val="22"/>
        </w:rPr>
      </w:pPr>
      <w:r>
        <w:rPr>
          <w:rFonts w:ascii="Lato" w:eastAsia="Lato" w:hAnsi="Lato" w:cs="Lato"/>
          <w:color w:val="1155CC"/>
          <w:sz w:val="22"/>
          <w:u w:val="single"/>
        </w:rPr>
        <w:fldChar w:fldCharType="end"/>
      </w:r>
      <w:hyperlink r:id="rId12" w:tooltip="Trusted Research Environments (TRE) Green Paper" w:history="1">
        <w:r w:rsidRPr="00B278C1">
          <w:rPr>
            <w:rStyle w:val="Hyperlink"/>
            <w:rFonts w:ascii="Lato" w:eastAsia="Lato" w:hAnsi="Lato" w:cs="Lato"/>
            <w:sz w:val="22"/>
          </w:rPr>
          <w:t>Trusted Research Environments (TRE) Green Paper</w:t>
        </w:r>
      </w:hyperlink>
    </w:p>
    <w:sectPr w:rsidR="00434332">
      <w:footerReference w:type="even" r:id="rId13"/>
      <w:footerReference w:type="default" r:id="rId14"/>
      <w:footerReference w:type="firs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CBC0" w14:textId="77777777" w:rsidR="009A13E3" w:rsidRDefault="009A13E3">
      <w:pPr>
        <w:spacing w:after="0" w:line="240" w:lineRule="auto"/>
      </w:pPr>
      <w:r>
        <w:separator/>
      </w:r>
    </w:p>
  </w:endnote>
  <w:endnote w:type="continuationSeparator" w:id="0">
    <w:p w14:paraId="4999BA9D" w14:textId="77777777" w:rsidR="009A13E3" w:rsidRDefault="009A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0CE9C30-B593-1845-A7B7-5AE9EE3EB52A}"/>
    <w:embedBold r:id="rId2" w:fontKey="{B8EE1229-A1CD-0742-9ABB-4157602D06AE}"/>
    <w:embedItalic r:id="rId3" w:fontKey="{C192BF62-7C5C-7546-9EC3-3075E9F909F3}"/>
  </w:font>
  <w:font w:name="Lato">
    <w:panose1 w:val="020F0502020204030203"/>
    <w:charset w:val="4D"/>
    <w:family w:val="swiss"/>
    <w:pitch w:val="variable"/>
    <w:sig w:usb0="800000AF" w:usb1="4000604A" w:usb2="00000000" w:usb3="00000000" w:csb0="00000093" w:csb1="00000000"/>
    <w:embedRegular r:id="rId4" w:fontKey="{28F304E7-7581-0642-9A5B-5C29A1BC3818}"/>
    <w:embedBold r:id="rId5" w:fontKey="{49ADAD07-E490-2846-9B8B-83F030E3850D}"/>
    <w:embedItalic r:id="rId6" w:fontKey="{D379B340-48AB-6D4C-87DB-D7977C11A115}"/>
  </w:font>
  <w:font w:name="Arial">
    <w:panose1 w:val="020B0604020202020204"/>
    <w:charset w:val="00"/>
    <w:family w:val="swiss"/>
    <w:pitch w:val="variable"/>
    <w:sig w:usb0="E0002EFF" w:usb1="C000785B" w:usb2="00000009" w:usb3="00000000" w:csb0="000001FF" w:csb1="00000000"/>
    <w:embedRegular r:id="rId7" w:fontKey="{8D7D6FE3-737D-C14F-940D-705AFE986298}"/>
    <w:embedBold r:id="rId8" w:fontKey="{F44E5B5C-DF93-4A42-A01B-EB34C66DB88F}"/>
    <w:embedItalic r:id="rId9" w:fontKey="{0A6864BC-8528-E547-9651-CDE1B6EEF9ED}"/>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0" w:fontKey="{80946C47-84B9-D444-A014-20243B7DF8B3}"/>
    <w:embedBold r:id="rId11" w:fontKey="{60A37CF0-591E-5044-9E72-8CD09888EEEF}"/>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embedRegular r:id="rId12" w:fontKey="{76452BDA-9A62-434B-BAE0-3F1A99618CAE}"/>
  </w:font>
  <w:font w:name="Cambria">
    <w:panose1 w:val="02040503050406030204"/>
    <w:charset w:val="00"/>
    <w:family w:val="roman"/>
    <w:pitch w:val="variable"/>
    <w:sig w:usb0="E00006FF" w:usb1="420024FF" w:usb2="02000000" w:usb3="00000000" w:csb0="0000019F" w:csb1="00000000"/>
    <w:embedRegular r:id="rId13" w:fontKey="{563342C5-C813-804B-95BC-78CB1D09FD51}"/>
  </w:font>
  <w:font w:name="Franklin Gothic Book">
    <w:panose1 w:val="020B0503020102020204"/>
    <w:charset w:val="00"/>
    <w:family w:val="swiss"/>
    <w:pitch w:val="variable"/>
    <w:sig w:usb0="00000287" w:usb1="00000000" w:usb2="00000000" w:usb3="00000000" w:csb0="0000009F" w:csb1="00000000"/>
    <w:embedBold r:id="rId14" w:fontKey="{847BA818-B2F6-D44C-808F-817E7775EE32}"/>
  </w:font>
  <w:font w:name="Calibri Light">
    <w:panose1 w:val="020F0302020204030204"/>
    <w:charset w:val="00"/>
    <w:family w:val="swiss"/>
    <w:pitch w:val="variable"/>
    <w:sig w:usb0="E0002AFF" w:usb1="C000247B" w:usb2="00000009" w:usb3="00000000" w:csb0="000001FF" w:csb1="00000000"/>
    <w:embedRegular r:id="rId15" w:fontKey="{F0BD24C9-4C52-CE40-A7A3-E5E33D8CF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EAFF" w14:textId="77777777" w:rsidR="00434332" w:rsidRDefault="00000000">
    <w:pPr>
      <w:jc w:val="right"/>
    </w:pPr>
    <w:r>
      <w:fldChar w:fldCharType="begin"/>
    </w:r>
    <w:r>
      <w:instrText>PAGE</w:instrText>
    </w:r>
    <w:r>
      <w:fldChar w:fldCharType="separate"/>
    </w:r>
    <w:r>
      <w:fldChar w:fldCharType="end"/>
    </w:r>
  </w:p>
  <w:p w14:paraId="268914E0" w14:textId="77777777" w:rsidR="00434332" w:rsidRDefault="00434332">
    <w:pPr>
      <w:ind w:right="360" w:firstLine="360"/>
    </w:pPr>
  </w:p>
  <w:p w14:paraId="73F29FDA" w14:textId="77777777" w:rsidR="00434332" w:rsidRDefault="004343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EE8D" w14:textId="77777777" w:rsidR="00434332" w:rsidRDefault="00000000">
    <w:pPr>
      <w:ind w:right="360" w:firstLine="360"/>
    </w:pPr>
    <w:r>
      <w:rPr>
        <w:noProof/>
      </w:rPr>
      <w:drawing>
        <wp:anchor distT="0" distB="0" distL="114300" distR="114300" simplePos="0" relativeHeight="251658240" behindDoc="0" locked="0" layoutInCell="1" hidden="0" allowOverlap="1" wp14:anchorId="5564FCEF" wp14:editId="1E4839BD">
          <wp:simplePos x="0" y="0"/>
          <wp:positionH relativeFrom="column">
            <wp:posOffset>-98054</wp:posOffset>
          </wp:positionH>
          <wp:positionV relativeFrom="paragraph">
            <wp:posOffset>58418</wp:posOffset>
          </wp:positionV>
          <wp:extent cx="3164840" cy="822960"/>
          <wp:effectExtent l="0" t="0" r="0" b="0"/>
          <wp:wrapSquare wrapText="bothSides" distT="0" distB="0" distL="114300" distR="114300"/>
          <wp:docPr id="1024713316"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0D0945FB" w14:textId="77777777" w:rsidR="00434332" w:rsidRDefault="00000000">
    <w:pPr>
      <w:jc w:val="right"/>
    </w:pPr>
    <w:r>
      <w:fldChar w:fldCharType="begin"/>
    </w:r>
    <w:r>
      <w:instrText>PAGE</w:instrText>
    </w:r>
    <w:r>
      <w:fldChar w:fldCharType="separate"/>
    </w:r>
    <w:r w:rsidR="00E9436D">
      <w:rPr>
        <w:noProof/>
      </w:rPr>
      <w:t>1</w:t>
    </w:r>
    <w:r>
      <w:fldChar w:fldCharType="end"/>
    </w:r>
  </w:p>
  <w:p w14:paraId="37CE6ED9" w14:textId="77777777" w:rsidR="00434332" w:rsidRDefault="00000000">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CC52" w14:textId="77777777" w:rsidR="00434332" w:rsidRDefault="00000000">
    <w:r>
      <w:rPr>
        <w:noProof/>
      </w:rPr>
      <mc:AlternateContent>
        <mc:Choice Requires="wpg">
          <w:drawing>
            <wp:anchor distT="0" distB="0" distL="0" distR="0" simplePos="0" relativeHeight="251659264" behindDoc="1" locked="0" layoutInCell="1" hidden="0" allowOverlap="1" wp14:anchorId="53DBC420" wp14:editId="30FFEFDE">
              <wp:simplePos x="0" y="0"/>
              <wp:positionH relativeFrom="column">
                <wp:posOffset>-2057399</wp:posOffset>
              </wp:positionH>
              <wp:positionV relativeFrom="paragraph">
                <wp:posOffset>-292099</wp:posOffset>
              </wp:positionV>
              <wp:extent cx="9334500" cy="3385185"/>
              <wp:effectExtent l="0" t="0" r="0" b="0"/>
              <wp:wrapNone/>
              <wp:docPr id="1024713315" name="组合 1024713315"/>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1409738716" name="组合 1409738716"/>
                      <wpg:cNvGrpSpPr/>
                      <wpg:grpSpPr>
                        <a:xfrm>
                          <a:off x="678750" y="2087408"/>
                          <a:ext cx="9334500" cy="3385185"/>
                          <a:chOff x="678750" y="2087400"/>
                          <a:chExt cx="9334500" cy="3385200"/>
                        </a:xfrm>
                      </wpg:grpSpPr>
                      <wps:wsp>
                        <wps:cNvPr id="1894317347" name="矩形 1894317347"/>
                        <wps:cNvSpPr/>
                        <wps:spPr>
                          <a:xfrm>
                            <a:off x="678750" y="2087400"/>
                            <a:ext cx="9334500" cy="3385200"/>
                          </a:xfrm>
                          <a:prstGeom prst="rect">
                            <a:avLst/>
                          </a:prstGeom>
                          <a:noFill/>
                          <a:ln>
                            <a:noFill/>
                          </a:ln>
                        </wps:spPr>
                        <wps:txbx>
                          <w:txbxContent>
                            <w:p w14:paraId="58481F8D"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502867449" name="组合 502867449"/>
                        <wpg:cNvGrpSpPr/>
                        <wpg:grpSpPr>
                          <a:xfrm>
                            <a:off x="678750" y="2087408"/>
                            <a:ext cx="9334500" cy="3385185"/>
                            <a:chOff x="678750" y="2087400"/>
                            <a:chExt cx="9334500" cy="3385200"/>
                          </a:xfrm>
                        </wpg:grpSpPr>
                        <wps:wsp>
                          <wps:cNvPr id="263443846" name="矩形 263443846"/>
                          <wps:cNvSpPr/>
                          <wps:spPr>
                            <a:xfrm>
                              <a:off x="678750" y="2087400"/>
                              <a:ext cx="9334500" cy="3385200"/>
                            </a:xfrm>
                            <a:prstGeom prst="rect">
                              <a:avLst/>
                            </a:prstGeom>
                            <a:noFill/>
                            <a:ln>
                              <a:noFill/>
                            </a:ln>
                          </wps:spPr>
                          <wps:txbx>
                            <w:txbxContent>
                              <w:p w14:paraId="333DD133"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370336096" name="组合 370336096"/>
                          <wpg:cNvGrpSpPr/>
                          <wpg:grpSpPr>
                            <a:xfrm>
                              <a:off x="678750" y="2087408"/>
                              <a:ext cx="9334500" cy="3385185"/>
                              <a:chOff x="678750" y="2087400"/>
                              <a:chExt cx="9334500" cy="3385200"/>
                            </a:xfrm>
                          </wpg:grpSpPr>
                          <wps:wsp>
                            <wps:cNvPr id="377636287" name="矩形 377636287"/>
                            <wps:cNvSpPr/>
                            <wps:spPr>
                              <a:xfrm>
                                <a:off x="678750" y="2087400"/>
                                <a:ext cx="9334500" cy="3385200"/>
                              </a:xfrm>
                              <a:prstGeom prst="rect">
                                <a:avLst/>
                              </a:prstGeom>
                              <a:noFill/>
                              <a:ln>
                                <a:noFill/>
                              </a:ln>
                            </wps:spPr>
                            <wps:txbx>
                              <w:txbxContent>
                                <w:p w14:paraId="48D7B52D"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1639199955" name="组合 1639199955"/>
                            <wpg:cNvGrpSpPr/>
                            <wpg:grpSpPr>
                              <a:xfrm>
                                <a:off x="678750" y="2087408"/>
                                <a:ext cx="9334500" cy="3385185"/>
                                <a:chOff x="678750" y="2087400"/>
                                <a:chExt cx="9334500" cy="3385200"/>
                              </a:xfrm>
                            </wpg:grpSpPr>
                            <wps:wsp>
                              <wps:cNvPr id="106430117" name="矩形 106430117"/>
                              <wps:cNvSpPr/>
                              <wps:spPr>
                                <a:xfrm>
                                  <a:off x="678750" y="2087400"/>
                                  <a:ext cx="9334500" cy="3385200"/>
                                </a:xfrm>
                                <a:prstGeom prst="rect">
                                  <a:avLst/>
                                </a:prstGeom>
                                <a:noFill/>
                                <a:ln>
                                  <a:noFill/>
                                </a:ln>
                              </wps:spPr>
                              <wps:txbx>
                                <w:txbxContent>
                                  <w:p w14:paraId="563EFDEE"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724689348" name="组合 724689348"/>
                              <wpg:cNvGrpSpPr/>
                              <wpg:grpSpPr>
                                <a:xfrm>
                                  <a:off x="678750" y="2087408"/>
                                  <a:ext cx="9334500" cy="3385185"/>
                                  <a:chOff x="678750" y="2087400"/>
                                  <a:chExt cx="9334500" cy="3385200"/>
                                </a:xfrm>
                              </wpg:grpSpPr>
                              <wps:wsp>
                                <wps:cNvPr id="383164450" name="矩形 383164450"/>
                                <wps:cNvSpPr/>
                                <wps:spPr>
                                  <a:xfrm>
                                    <a:off x="678750" y="2087400"/>
                                    <a:ext cx="9334500" cy="3385200"/>
                                  </a:xfrm>
                                  <a:prstGeom prst="rect">
                                    <a:avLst/>
                                  </a:prstGeom>
                                  <a:noFill/>
                                  <a:ln>
                                    <a:noFill/>
                                  </a:ln>
                                </wps:spPr>
                                <wps:txbx>
                                  <w:txbxContent>
                                    <w:p w14:paraId="2988606A"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723530538" name="组合 723530538"/>
                                <wpg:cNvGrpSpPr/>
                                <wpg:grpSpPr>
                                  <a:xfrm>
                                    <a:off x="678750" y="2087408"/>
                                    <a:ext cx="9334500" cy="3385185"/>
                                    <a:chOff x="678750" y="2087400"/>
                                    <a:chExt cx="9334500" cy="3385200"/>
                                  </a:xfrm>
                                </wpg:grpSpPr>
                                <wps:wsp>
                                  <wps:cNvPr id="1595129329" name="矩形 1595129329"/>
                                  <wps:cNvSpPr/>
                                  <wps:spPr>
                                    <a:xfrm>
                                      <a:off x="678750" y="2087400"/>
                                      <a:ext cx="9334500" cy="3385200"/>
                                    </a:xfrm>
                                    <a:prstGeom prst="rect">
                                      <a:avLst/>
                                    </a:prstGeom>
                                    <a:noFill/>
                                    <a:ln>
                                      <a:noFill/>
                                    </a:ln>
                                  </wps:spPr>
                                  <wps:txbx>
                                    <w:txbxContent>
                                      <w:p w14:paraId="220A03A8"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cNvPr id="598397964" name="组合 598397964"/>
                                  <wpg:cNvGrpSpPr/>
                                  <wpg:grpSpPr>
                                    <a:xfrm rot="10800000">
                                      <a:off x="678750" y="2087408"/>
                                      <a:ext cx="9334500" cy="3385185"/>
                                      <a:chOff x="-7144" y="-7144"/>
                                      <a:chExt cx="6005513" cy="1924050"/>
                                    </a:xfrm>
                                  </wpg:grpSpPr>
                                  <wps:wsp>
                                    <wps:cNvPr id="1043440157" name="矩形 1043440157"/>
                                    <wps:cNvSpPr/>
                                    <wps:spPr>
                                      <a:xfrm>
                                        <a:off x="-7144" y="-7144"/>
                                        <a:ext cx="6005500" cy="1924050"/>
                                      </a:xfrm>
                                      <a:prstGeom prst="rect">
                                        <a:avLst/>
                                      </a:prstGeom>
                                      <a:noFill/>
                                      <a:ln>
                                        <a:noFill/>
                                      </a:ln>
                                    </wps:spPr>
                                    <wps:txbx>
                                      <w:txbxContent>
                                        <w:p w14:paraId="7224C8AC"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s:wsp>
                                    <wps:cNvPr id="1173945083" name="任意多边形: 形状 117394508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360DC000"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s:wsp>
                                    <wps:cNvPr id="1441538019" name="任意多边形: 形状 1441538019"/>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2AF368CF"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s:wsp>
                                    <wps:cNvPr id="1873155317" name="任意多边形: 形状 1873155317"/>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016A62E8"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s:wsp>
                                    <wps:cNvPr id="1519543963" name="任意多边形: 形状 1519543963"/>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48E25475" w14:textId="77777777" w:rsidR="00434332" w:rsidRDefault="00434332">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xmlns:w16du="http://schemas.microsoft.com/office/word/2023/wordml/word16du">
          <w:pict>
            <v:group w14:anchorId="53DBC420" id="组合 1024713315" o:spid="_x0000_s1026" style="position:absolute;margin-left:-162pt;margin-top:-23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">
              <v:group id="组合 1409738716"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">
                <v:rect id="矩形 1894317347"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" filled="f" stroked="f">
                  <v:textbox inset="2.53958mm,2.53958mm,2.53958mm,2.53958mm">
                    <w:txbxContent>
                      <w:p w14:paraId="58481F8D" w14:textId="77777777" w:rsidR="00434332" w:rsidRDefault="00434332">
                        <w:pPr>
                          <w:spacing w:after="0" w:line="240" w:lineRule="auto"/>
                          <w:textDirection w:val="btLr"/>
                        </w:pPr>
                      </w:p>
                    </w:txbxContent>
                  </v:textbox>
                </v:rect>
                <v:group id="组合 502867449"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">
                  <v:rect id="矩形 263443846"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" filled="f" stroked="f">
                    <v:textbox inset="2.53958mm,2.53958mm,2.53958mm,2.53958mm">
                      <w:txbxContent>
                        <w:p w14:paraId="333DD133" w14:textId="77777777" w:rsidR="00434332" w:rsidRDefault="00434332">
                          <w:pPr>
                            <w:spacing w:after="0" w:line="240" w:lineRule="auto"/>
                            <w:textDirection w:val="btLr"/>
                          </w:pPr>
                        </w:p>
                      </w:txbxContent>
                    </v:textbox>
                  </v:rect>
                  <v:group id="组合 370336096"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">
                    <v:rect id="矩形 377636287"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" filled="f" stroked="f">
                      <v:textbox inset="2.53958mm,2.53958mm,2.53958mm,2.53958mm">
                        <w:txbxContent>
                          <w:p w14:paraId="48D7B52D" w14:textId="77777777" w:rsidR="00434332" w:rsidRDefault="00434332">
                            <w:pPr>
                              <w:spacing w:after="0" w:line="240" w:lineRule="auto"/>
                              <w:textDirection w:val="btLr"/>
                            </w:pPr>
                          </w:p>
                        </w:txbxContent>
                      </v:textbox>
                    </v:rect>
                    <v:group id="组合 1639199955"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">
                      <v:rect id="矩形 106430117"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" filled="f" stroked="f">
                        <v:textbox inset="2.53958mm,2.53958mm,2.53958mm,2.53958mm">
                          <w:txbxContent>
                            <w:p w14:paraId="563EFDEE" w14:textId="77777777" w:rsidR="00434332" w:rsidRDefault="00434332">
                              <w:pPr>
                                <w:spacing w:after="0" w:line="240" w:lineRule="auto"/>
                                <w:textDirection w:val="btLr"/>
                              </w:pPr>
                            </w:p>
                          </w:txbxContent>
                        </v:textbox>
                      </v:rect>
                      <v:group id="组合 724689348"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">
                        <v:rect id="矩形 383164450"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" filled="f" stroked="f">
                          <v:textbox inset="2.53958mm,2.53958mm,2.53958mm,2.53958mm">
                            <w:txbxContent>
                              <w:p w14:paraId="2988606A" w14:textId="77777777" w:rsidR="00434332" w:rsidRDefault="00434332">
                                <w:pPr>
                                  <w:spacing w:after="0" w:line="240" w:lineRule="auto"/>
                                  <w:textDirection w:val="btLr"/>
                                </w:pPr>
                              </w:p>
                            </w:txbxContent>
                          </v:textbox>
                        </v:rect>
                        <v:group id="组合 723530538"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">
                          <v:rect id="矩形 1595129329"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" filled="f" stroked="f">
                            <v:textbox inset="2.53958mm,2.53958mm,2.53958mm,2.53958mm">
                              <w:txbxContent>
                                <w:p w14:paraId="220A03A8" w14:textId="77777777" w:rsidR="00434332" w:rsidRDefault="00434332">
                                  <w:pPr>
                                    <w:spacing w:after="0" w:line="240" w:lineRule="auto"/>
                                    <w:textDirection w:val="btLr"/>
                                  </w:pPr>
                                </w:p>
                              </w:txbxContent>
                            </v:textbox>
                          </v:rect>
                          <v:group id="组合 598397964" o:spid="_x0000_s1039"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">
                            <v:rect id="矩形 1043440157" o:spid="_x0000_s1040"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" filled="f" stroked="f">
                              <v:textbox inset="2.53958mm,2.53958mm,2.53958mm,2.53958mm">
                                <w:txbxContent>
                                  <w:p w14:paraId="7224C8AC" w14:textId="77777777" w:rsidR="00434332" w:rsidRDefault="00434332">
                                    <w:pPr>
                                      <w:spacing w:after="0" w:line="240" w:lineRule="auto"/>
                                      <w:textDirection w:val="btLr"/>
                                    </w:pPr>
                                  </w:p>
                                </w:txbxContent>
                              </v:textbox>
                            </v:rect>
                            <v:shape id="任意多边形: 形状 1173945083" o:spid="_x0000_s1041"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360DC000" w14:textId="77777777" w:rsidR="00434332" w:rsidRDefault="00434332">
                                    <w:pPr>
                                      <w:spacing w:after="0" w:line="240" w:lineRule="auto"/>
                                      <w:textDirection w:val="btLr"/>
                                    </w:pPr>
                                  </w:p>
                                </w:txbxContent>
                              </v:textbox>
                            </v:shape>
                            <v:shape id="任意多边形: 形状 1441538019" o:spid="_x0000_s1042"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2AF368CF" w14:textId="77777777" w:rsidR="00434332" w:rsidRDefault="00434332">
                                    <w:pPr>
                                      <w:spacing w:after="0" w:line="240" w:lineRule="auto"/>
                                      <w:textDirection w:val="btLr"/>
                                    </w:pPr>
                                  </w:p>
                                </w:txbxContent>
                              </v:textbox>
                            </v:shape>
                            <v:shape id="任意多边形: 形状 1873155317" o:spid="_x0000_s1043"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016A62E8" w14:textId="77777777" w:rsidR="00434332" w:rsidRDefault="00434332">
                                    <w:pPr>
                                      <w:spacing w:after="0" w:line="240" w:lineRule="auto"/>
                                      <w:textDirection w:val="btLr"/>
                                    </w:pPr>
                                  </w:p>
                                </w:txbxContent>
                              </v:textbox>
                            </v:shape>
                            <v:shape id="任意多边形: 形状 1519543963" o:spid="_x0000_s1044"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48E25475" w14:textId="77777777" w:rsidR="00434332" w:rsidRDefault="00434332">
                                    <w:pPr>
                                      <w:spacing w:after="0" w:line="240" w:lineRule="auto"/>
                                      <w:textDirection w:val="btLr"/>
                                    </w:pPr>
                                  </w:p>
                                </w:txbxContent>
                              </v:textbox>
                            </v:shape>
                          </v:group>
                        </v:group>
                      </v:group>
                    </v:group>
                  </v:group>
                </v:group>
              </v:group>
            </v:group>
          </w:pict>
        </mc:Fallback>
      </mc:AlternateContent>
    </w:r>
  </w:p>
  <w:p w14:paraId="58434F96" w14:textId="77777777" w:rsidR="00434332" w:rsidRDefault="00000000">
    <w:r>
      <w:rPr>
        <w:noProof/>
      </w:rPr>
      <w:drawing>
        <wp:anchor distT="0" distB="0" distL="114300" distR="114300" simplePos="0" relativeHeight="251660288" behindDoc="0" locked="0" layoutInCell="1" hidden="0" allowOverlap="1" wp14:anchorId="65A1F53B" wp14:editId="1149D39E">
          <wp:simplePos x="0" y="0"/>
          <wp:positionH relativeFrom="column">
            <wp:posOffset>3164840</wp:posOffset>
          </wp:positionH>
          <wp:positionV relativeFrom="paragraph">
            <wp:posOffset>26669</wp:posOffset>
          </wp:positionV>
          <wp:extent cx="3515995" cy="895985"/>
          <wp:effectExtent l="0" t="0" r="0" b="0"/>
          <wp:wrapNone/>
          <wp:docPr id="1024713317"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3376" r="3638"/>
                  <a:stretch>
                    <a:fillRect/>
                  </a:stretch>
                </pic:blipFill>
                <pic:spPr>
                  <a:xfrm>
                    <a:off x="0" y="0"/>
                    <a:ext cx="3515995" cy="8959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4CEE8" w14:textId="77777777" w:rsidR="009A13E3" w:rsidRDefault="009A13E3">
      <w:pPr>
        <w:spacing w:after="0" w:line="240" w:lineRule="auto"/>
      </w:pPr>
      <w:r>
        <w:separator/>
      </w:r>
    </w:p>
  </w:footnote>
  <w:footnote w:type="continuationSeparator" w:id="0">
    <w:p w14:paraId="76418E84" w14:textId="77777777" w:rsidR="009A13E3" w:rsidRDefault="009A1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6062C"/>
    <w:multiLevelType w:val="multilevel"/>
    <w:tmpl w:val="E396B3DE"/>
    <w:lvl w:ilvl="0">
      <w:start w:val="1"/>
      <w:numFmt w:val="bullet"/>
      <w:pStyle w:val="BulletPoin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3345F2"/>
    <w:multiLevelType w:val="multilevel"/>
    <w:tmpl w:val="3424C898"/>
    <w:lvl w:ilvl="0">
      <w:start w:val="1"/>
      <w:numFmt w:val="decimal"/>
      <w:pStyle w:val="Heading6"/>
      <w:lvlText w:val="%1."/>
      <w:lvlJc w:val="left"/>
      <w:pPr>
        <w:ind w:left="720" w:hanging="360"/>
      </w:pPr>
      <w:rPr>
        <w:rFonts w:ascii="Lato" w:eastAsia="Lato" w:hAnsi="Lato" w:cs="Lato"/>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7177873">
    <w:abstractNumId w:val="1"/>
  </w:num>
  <w:num w:numId="2" w16cid:durableId="9629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6"/>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b0ug9q/F4WBeaTE9NRMeDy1o/DTo5doL7hTvBB+Awx0az3qprm9aB4j/T+b31iHA9nUywUxcz1zKNFAQ6Qfc0g==" w:salt="0nZFUJtMCn04eZYGq9qrb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32"/>
    <w:rsid w:val="0032248B"/>
    <w:rsid w:val="00434332"/>
    <w:rsid w:val="004E2787"/>
    <w:rsid w:val="005478C1"/>
    <w:rsid w:val="007D2B10"/>
    <w:rsid w:val="008A3032"/>
    <w:rsid w:val="009A13E3"/>
    <w:rsid w:val="00B278C1"/>
    <w:rsid w:val="00E0203C"/>
    <w:rsid w:val="00E223BC"/>
    <w:rsid w:val="00E9436D"/>
    <w:rsid w:val="00F01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E733F"/>
  <w15:docId w15:val="{751D270A-4483-421B-8658-D159D9C3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CA"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rPr>
  </w:style>
  <w:style w:type="paragraph" w:styleId="Heading2">
    <w:name w:val="heading 2"/>
    <w:aliases w:val="H2"/>
    <w:basedOn w:val="Heading3"/>
    <w:next w:val="Normal"/>
    <w:link w:val="Heading2Char"/>
    <w:uiPriority w:val="9"/>
    <w:semiHidden/>
    <w:unhideWhenUsed/>
    <w:qFormat/>
    <w:rsid w:val="00004241"/>
    <w:pPr>
      <w:outlineLvl w:val="1"/>
    </w:pPr>
    <w:rPr>
      <w:b/>
      <w:bCs w:val="0"/>
      <w:color w:val="002649"/>
    </w:rPr>
  </w:style>
  <w:style w:type="paragraph" w:styleId="Heading3">
    <w:name w:val="heading 3"/>
    <w:aliases w:val="H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Normal"/>
    <w:next w:val="Normal"/>
    <w:link w:val="Heading4Char"/>
    <w:uiPriority w:val="9"/>
    <w:semiHidden/>
    <w:unhideWhenUsed/>
    <w:qFormat/>
    <w:rsid w:val="00563957"/>
    <w:pPr>
      <w:contextualSpacing/>
      <w:outlineLvl w:val="3"/>
    </w:pPr>
    <w:rPr>
      <w:i/>
      <w:iCs/>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rPr>
  </w:style>
  <w:style w:type="paragraph" w:styleId="Heading6">
    <w:name w:val="heading 6"/>
    <w:aliases w:val="Bullet points"/>
    <w:basedOn w:val="ListBullet"/>
    <w:next w:val="Normal"/>
    <w:link w:val="Heading6Char"/>
    <w:uiPriority w:val="9"/>
    <w:semiHidden/>
    <w:unhideWhenUsed/>
    <w:qFormat/>
    <w:rsid w:val="00056B37"/>
    <w:pPr>
      <w:numPr>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Title Page (2)"/>
    <w:basedOn w:val="Normal"/>
    <w:next w:val="Normal"/>
    <w:link w:val="TitleChar"/>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fr-CA"/>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fr-CA"/>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fr-CA"/>
    </w:rPr>
  </w:style>
  <w:style w:type="paragraph" w:styleId="NoSpacing">
    <w:name w:val="No Spacing"/>
    <w:uiPriority w:val="1"/>
    <w:rsid w:val="00563957"/>
    <w:rPr>
      <w:szCs w:val="22"/>
    </w:rPr>
  </w:style>
  <w:style w:type="paragraph" w:customStyle="1" w:styleId="ItalicisedText">
    <w:name w:val="Italicised Text"/>
    <w:basedOn w:val="BodyText"/>
    <w:qFormat/>
    <w:rsid w:val="00563957"/>
    <w:rPr>
      <w:i/>
    </w:rPr>
  </w:style>
  <w:style w:type="paragraph" w:customStyle="1" w:styleId="BulletPoints">
    <w:name w:val="Bullet Points"/>
    <w:basedOn w:val="ListBullet"/>
    <w:qFormat/>
    <w:rsid w:val="000F3400"/>
    <w:pPr>
      <w:numPr>
        <w:numId w:val="2"/>
      </w:numPr>
    </w:pPr>
  </w:style>
  <w:style w:type="paragraph" w:styleId="BodyText">
    <w:name w:val="Body Text"/>
    <w:basedOn w:val="Normal"/>
    <w:link w:val="BodyTextChar"/>
    <w:uiPriority w:val="1"/>
    <w:semiHidden/>
    <w:unhideWhenUsed/>
    <w:qFormat/>
    <w:rsid w:val="00563957"/>
    <w:pPr>
      <w:spacing w:after="120"/>
    </w:pPr>
  </w:style>
  <w:style w:type="character" w:customStyle="1" w:styleId="BodyTextChar">
    <w:name w:val="Body Text Char"/>
    <w:basedOn w:val="DefaultParagraphFont"/>
    <w:link w:val="BodyText"/>
    <w:uiPriority w:val="1"/>
    <w:semiHidden/>
    <w:rsid w:val="00563957"/>
    <w:rPr>
      <w:rFonts w:ascii="Arial" w:hAnsi="Arial"/>
      <w:kern w:val="0"/>
      <w:szCs w:val="22"/>
      <w:lang w:val="fr-CA"/>
    </w:r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63957"/>
    <w:pPr>
      <w:ind w:left="720"/>
      <w:contextualSpacing/>
    </w:p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fr-CA"/>
    </w:rPr>
  </w:style>
  <w:style w:type="character" w:styleId="FootnoteReference">
    <w:name w:val="footnote reference"/>
    <w:basedOn w:val="DefaultParagraphFont"/>
    <w:uiPriority w:val="99"/>
    <w:semiHidden/>
    <w:unhideWhenUsed/>
    <w:rsid w:val="0084591A"/>
    <w:rPr>
      <w:vertAlign w:val="superscript"/>
    </w:rPr>
  </w:style>
  <w:style w:type="paragraph" w:customStyle="1" w:styleId="QuoteCallout">
    <w:name w:val="Quote Callout"/>
    <w:basedOn w:val="Normal"/>
    <w:qFormat/>
    <w:rsid w:val="00563957"/>
    <w:rPr>
      <w:i/>
      <w:iCs/>
      <w:color w:val="006A78"/>
    </w:rPr>
  </w:style>
  <w:style w:type="paragraph" w:customStyle="1" w:styleId="NumberedList">
    <w:name w:val="Numbered List"/>
    <w:basedOn w:val="ListParagraph"/>
    <w:qFormat/>
    <w:rsid w:val="00563957"/>
    <w:pPr>
      <w:tabs>
        <w:tab w:val="num" w:pos="720"/>
      </w:tabs>
      <w:ind w:hanging="720"/>
    </w:pPr>
  </w:style>
  <w:style w:type="character" w:customStyle="1" w:styleId="TitleChar">
    <w:name w:val="Title Char"/>
    <w:aliases w:val="Title Page (2) Char"/>
    <w:basedOn w:val="DefaultParagraphFont"/>
    <w:link w:val="Title"/>
    <w:uiPriority w:val="10"/>
    <w:rsid w:val="00563957"/>
    <w:rPr>
      <w:rFonts w:ascii="Lato" w:eastAsiaTheme="majorEastAsia" w:hAnsi="Lato" w:cstheme="majorBidi"/>
      <w:b/>
      <w:color w:val="002649"/>
      <w:spacing w:val="-10"/>
      <w:kern w:val="28"/>
      <w:sz w:val="44"/>
      <w:szCs w:val="56"/>
      <w:lang w:val="fr-CA"/>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1">
    <w:name w:val="toc 1"/>
    <w:basedOn w:val="Normal"/>
    <w:next w:val="Normal"/>
    <w:autoRedefine/>
    <w:uiPriority w:val="39"/>
    <w:unhideWhenUsed/>
    <w:rsid w:val="00A84922"/>
    <w:pPr>
      <w:tabs>
        <w:tab w:val="right" w:leader="dot" w:pos="10070"/>
      </w:tabs>
      <w:spacing w:after="100"/>
    </w:pPr>
    <w:rPr>
      <w:b/>
      <w:bCs/>
      <w:noProof/>
    </w:rPr>
  </w:style>
  <w:style w:type="paragraph" w:styleId="TOC2">
    <w:name w:val="toc 2"/>
    <w:basedOn w:val="Normal"/>
    <w:next w:val="Normal"/>
    <w:autoRedefine/>
    <w:uiPriority w:val="39"/>
    <w:unhideWhenUsed/>
    <w:rsid w:val="00563957"/>
    <w:pPr>
      <w:spacing w:after="100"/>
      <w:ind w:left="240"/>
    </w:pPr>
  </w:style>
  <w:style w:type="paragraph" w:styleId="TOC3">
    <w:name w:val="toc 3"/>
    <w:basedOn w:val="Normal"/>
    <w:next w:val="Normal"/>
    <w:autoRedefine/>
    <w:uiPriority w:val="39"/>
    <w:unhideWhenUsed/>
    <w:rsid w:val="00563957"/>
    <w:pPr>
      <w:spacing w:after="100"/>
      <w:ind w:left="480"/>
    </w:pPr>
  </w:style>
  <w:style w:type="character" w:styleId="Hyperlink">
    <w:name w:val="Hyperlink"/>
    <w:basedOn w:val="DefaultParagraphFont"/>
    <w:uiPriority w:val="99"/>
    <w:unhideWhenUsed/>
    <w:rsid w:val="00563957"/>
    <w:rPr>
      <w:color w:val="0563C1" w:themeColor="hyperlink"/>
      <w:u w:val="single"/>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aliases w:val="H3 Char"/>
    <w:basedOn w:val="DefaultParagraphFont"/>
    <w:link w:val="Heading3"/>
    <w:uiPriority w:val="9"/>
    <w:rsid w:val="00153B21"/>
    <w:rPr>
      <w:rFonts w:ascii="Lato" w:eastAsia="Arial" w:hAnsi="Lato" w:cstheme="minorHAnsi"/>
      <w:bCs/>
      <w:color w:val="006A78"/>
      <w:spacing w:val="-1"/>
      <w:kern w:val="0"/>
      <w:sz w:val="28"/>
      <w:szCs w:val="32"/>
      <w:lang w:val="fr-CA"/>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fr-CA"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056B37"/>
    <w:rPr>
      <w:rFonts w:ascii="Arial" w:hAnsi="Arial"/>
      <w:kern w:val="0"/>
      <w:szCs w:val="22"/>
    </w:rPr>
  </w:style>
  <w:style w:type="paragraph" w:styleId="ListBullet">
    <w:name w:val="List Bullet"/>
    <w:basedOn w:val="Normal"/>
    <w:uiPriority w:val="99"/>
    <w:semiHidden/>
    <w:unhideWhenUsed/>
    <w:rsid w:val="00056B37"/>
    <w:pPr>
      <w:tabs>
        <w:tab w:val="num" w:pos="720"/>
      </w:tabs>
      <w:ind w:left="720" w:hanging="720"/>
      <w:contextualSpacing/>
    </w:pPr>
  </w:style>
  <w:style w:type="paragraph" w:styleId="Header">
    <w:name w:val="header"/>
    <w:basedOn w:val="Normal"/>
    <w:link w:val="HeaderChar"/>
    <w:uiPriority w:val="99"/>
    <w:unhideWhenUsed/>
    <w:rsid w:val="004E6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731"/>
    <w:rPr>
      <w:rFonts w:ascii="Arial" w:hAnsi="Arial"/>
      <w:kern w:val="0"/>
      <w:szCs w:val="22"/>
      <w:lang w:val="fr-C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86769"/>
    <w:pPr>
      <w:spacing w:after="0" w:line="240" w:lineRule="auto"/>
    </w:pPr>
    <w:rPr>
      <w:szCs w:val="22"/>
    </w:rPr>
  </w:style>
  <w:style w:type="paragraph" w:styleId="CommentSubject">
    <w:name w:val="annotation subject"/>
    <w:basedOn w:val="CommentText"/>
    <w:next w:val="CommentText"/>
    <w:link w:val="CommentSubjectChar"/>
    <w:uiPriority w:val="99"/>
    <w:semiHidden/>
    <w:unhideWhenUsed/>
    <w:rsid w:val="00F86769"/>
    <w:rPr>
      <w:b/>
      <w:bCs/>
    </w:rPr>
  </w:style>
  <w:style w:type="character" w:customStyle="1" w:styleId="CommentSubjectChar">
    <w:name w:val="Comment Subject Char"/>
    <w:basedOn w:val="CommentTextChar"/>
    <w:link w:val="CommentSubject"/>
    <w:uiPriority w:val="99"/>
    <w:semiHidden/>
    <w:rsid w:val="00F86769"/>
    <w:rPr>
      <w:b/>
      <w:bCs/>
      <w:sz w:val="20"/>
      <w:szCs w:val="20"/>
    </w:rPr>
  </w:style>
  <w:style w:type="table" w:customStyle="1" w:styleId="a1">
    <w:basedOn w:val="TableNormal"/>
    <w:rPr>
      <w:sz w:val="22"/>
      <w:szCs w:val="22"/>
    </w:rPr>
    <w:tblPr>
      <w:tblStyleRowBandSize w:val="1"/>
      <w:tblStyleColBandSize w:val="1"/>
      <w:tblCellMar>
        <w:left w:w="115" w:type="dxa"/>
        <w:right w:w="115" w:type="dxa"/>
      </w:tblCellMar>
    </w:tblPr>
  </w:style>
  <w:style w:type="table" w:customStyle="1" w:styleId="a2">
    <w:basedOn w:val="TableNormal"/>
    <w:rPr>
      <w:sz w:val="22"/>
      <w:szCs w:val="22"/>
    </w:rPr>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enodo.org/records/459470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res.ersjournals.com/content/erjor/8/4/00168-2022.full.pdf"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arxiv.org/pdf/1902.04885.pdf" TargetMode="External"/><Relationship Id="rId4" Type="http://schemas.openxmlformats.org/officeDocument/2006/relationships/styles" Target="styles.xml"/><Relationship Id="rId9" Type="http://schemas.openxmlformats.org/officeDocument/2006/relationships/hyperlink" Target="https://ieeexplore.ieee.org/abstract/document/8759317?casa_token=1WLUf7WMvzYAAAAA:EwcJPrQHyBdcrdesOr9gAuPUPxj6LtyeLemxycl7jlyYlH4s8wH0k-Fsx62rx3IcbrPyysa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g2MCZQUtmo3ND8KndCtDs0p83w==">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</go:docsCustomData>
</go:gDocsCustomXmlDataStorage>
</file>

<file path=customXml/itemProps1.xml><?xml version="1.0" encoding="utf-8"?>
<ds:datastoreItem xmlns:ds="http://schemas.openxmlformats.org/officeDocument/2006/customXml" ds:itemID="{EF7513B4-C680-4F11-8DBE-CDF3AEC24C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1485</Words>
  <Characters>8465</Characters>
  <Application>Microsoft Office Word</Application>
  <DocSecurity>10</DocSecurity>
  <Lines>70</Lines>
  <Paragraphs>19</Paragraphs>
  <ScaleCrop>false</ScaleCrop>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Microsoft Office User</cp:lastModifiedBy>
  <cp:revision>2</cp:revision>
  <dcterms:created xsi:type="dcterms:W3CDTF">2025-03-04T00:32:00Z</dcterms:created>
  <dcterms:modified xsi:type="dcterms:W3CDTF">2025-03-04T00:32:00Z</dcterms:modified>
</cp:coreProperties>
</file>